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0000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73BF718B" w14:textId="77777777" w:rsidR="00B05AC1" w:rsidRDefault="00B05AC1" w:rsidP="00B05AC1">
      <w:pPr>
        <w:spacing w:after="0" w:line="240" w:lineRule="auto"/>
        <w:contextualSpacing/>
        <w:jc w:val="both"/>
        <w:rPr>
          <w:rFonts w:asciiTheme="minorHAnsi" w:eastAsia="Times New Roman" w:hAnsiTheme="minorHAnsi" w:cs="Arial"/>
          <w:color w:val="000000"/>
          <w:sz w:val="20"/>
          <w:szCs w:val="20"/>
          <w:lang w:eastAsia="es-MX"/>
        </w:rPr>
      </w:pPr>
      <w:r w:rsidRPr="000B537F">
        <w:rPr>
          <w:rFonts w:asciiTheme="minorHAnsi" w:eastAsia="Times New Roman" w:hAnsiTheme="minorHAnsi" w:cs="Arial"/>
          <w:color w:val="000000"/>
          <w:sz w:val="20"/>
          <w:szCs w:val="20"/>
          <w:lang w:eastAsia="es-MX"/>
        </w:rPr>
        <w:t xml:space="preserve">13 </w:t>
      </w:r>
      <w:r>
        <w:rPr>
          <w:rFonts w:asciiTheme="minorHAnsi" w:eastAsia="Times New Roman" w:hAnsiTheme="minorHAnsi" w:cs="Arial"/>
          <w:color w:val="000000"/>
          <w:sz w:val="20"/>
          <w:szCs w:val="20"/>
          <w:lang w:eastAsia="es-MX"/>
        </w:rPr>
        <w:t>de agosto de</w:t>
      </w:r>
      <w:r w:rsidRPr="000B537F">
        <w:rPr>
          <w:rFonts w:asciiTheme="minorHAnsi" w:eastAsia="Times New Roman" w:hAnsiTheme="minorHAnsi" w:cs="Arial"/>
          <w:color w:val="000000"/>
          <w:sz w:val="20"/>
          <w:szCs w:val="20"/>
          <w:lang w:eastAsia="es-MX"/>
        </w:rPr>
        <w:t xml:space="preserve"> 1987</w:t>
      </w:r>
    </w:p>
    <w:p w14:paraId="5649A786" w14:textId="77777777" w:rsidR="00B05AC1" w:rsidRPr="000B537F" w:rsidRDefault="00B05AC1" w:rsidP="00B05AC1">
      <w:pPr>
        <w:spacing w:after="0" w:line="240" w:lineRule="auto"/>
        <w:contextualSpacing/>
        <w:jc w:val="both"/>
        <w:rPr>
          <w:rFonts w:asciiTheme="minorHAnsi" w:eastAsia="Times New Roman" w:hAnsiTheme="minorHAnsi" w:cs="Arial"/>
          <w:color w:val="000000"/>
          <w:sz w:val="20"/>
          <w:szCs w:val="20"/>
          <w:lang w:eastAsia="es-MX"/>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48CDDD8" w14:textId="77777777" w:rsidR="00B05AC1" w:rsidRPr="00B05AC1" w:rsidRDefault="00B05AC1" w:rsidP="00B05AC1">
      <w:pPr>
        <w:tabs>
          <w:tab w:val="left" w:leader="underscore" w:pos="9639"/>
        </w:tabs>
        <w:spacing w:after="0" w:line="240" w:lineRule="auto"/>
        <w:jc w:val="both"/>
        <w:rPr>
          <w:rFonts w:asciiTheme="minorHAnsi" w:hAnsiTheme="minorHAnsi" w:cs="Calibri"/>
          <w:sz w:val="20"/>
          <w:szCs w:val="20"/>
        </w:rPr>
      </w:pPr>
      <w:r w:rsidRPr="00B05AC1">
        <w:rPr>
          <w:rFonts w:asciiTheme="minorHAnsi" w:hAnsiTheme="minorHAnsi" w:cs="Calibri"/>
          <w:sz w:val="20"/>
          <w:szCs w:val="20"/>
        </w:rPr>
        <w:t>En fecha 03 de julio de 2020 se publica en Periódico Oficial del Gobierno de Guanajuato se emiten Reformas, Adicionales y Derogaciones a diversos artículos del Reglamento del Sistema para el Desarrollo Integral de la Familia del Salamanca, Guanajuato.</w:t>
      </w:r>
    </w:p>
    <w:p w14:paraId="16A215A1" w14:textId="513CA78D" w:rsidR="00516A8F" w:rsidRDefault="00FE7883" w:rsidP="00516A8F">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 y una breve explicación del motivo por el cual no le es aplicable</w:t>
      </w:r>
    </w:p>
    <w:p w14:paraId="2A544855" w14:textId="77777777" w:rsidR="00FE7883" w:rsidRPr="00E74967" w:rsidRDefault="00FE7883"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1FF70380" w:rsidR="0012493A" w:rsidRDefault="00B05AC1" w:rsidP="00B05AC1">
      <w:pPr>
        <w:spacing w:after="0" w:line="240" w:lineRule="auto"/>
        <w:contextualSpacing/>
        <w:jc w:val="both"/>
        <w:rPr>
          <w:rFonts w:asciiTheme="minorHAnsi" w:eastAsia="Times New Roman" w:hAnsiTheme="minorHAnsi" w:cs="Arial"/>
          <w:color w:val="000000"/>
          <w:sz w:val="20"/>
          <w:szCs w:val="20"/>
          <w:lang w:eastAsia="es-MX"/>
        </w:rPr>
      </w:pPr>
      <w:r w:rsidRPr="000B537F">
        <w:rPr>
          <w:rFonts w:asciiTheme="minorHAnsi" w:eastAsia="Times New Roman" w:hAnsiTheme="minorHAnsi" w:cs="Arial"/>
          <w:color w:val="000000"/>
          <w:sz w:val="20"/>
          <w:szCs w:val="20"/>
          <w:lang w:eastAsia="es-MX"/>
        </w:rPr>
        <w:t>Los ingresos dependiendo de su naturaleza, se regirán por lo dispuesto en la ley de ingresos, disposiciones administrativas de observancia general que emita el Ayuntamiento, así como las normas de derecho común, entre otras</w:t>
      </w:r>
      <w:r>
        <w:rPr>
          <w:rFonts w:asciiTheme="minorHAnsi" w:eastAsia="Times New Roman" w:hAnsiTheme="minorHAnsi" w:cs="Arial"/>
          <w:color w:val="000000"/>
          <w:sz w:val="20"/>
          <w:szCs w:val="20"/>
          <w:lang w:eastAsia="es-MX"/>
        </w:rPr>
        <w:t xml:space="preserve"> como se muestra a continuación:</w:t>
      </w:r>
    </w:p>
    <w:p w14:paraId="008B6B5B" w14:textId="77777777" w:rsidR="008318A9" w:rsidRDefault="008318A9" w:rsidP="00B05AC1">
      <w:pPr>
        <w:spacing w:after="0" w:line="240" w:lineRule="auto"/>
        <w:contextualSpacing/>
        <w:jc w:val="both"/>
        <w:rPr>
          <w:rFonts w:asciiTheme="minorHAnsi" w:eastAsia="Times New Roman" w:hAnsiTheme="minorHAnsi" w:cs="Arial"/>
          <w:color w:val="000000"/>
          <w:sz w:val="20"/>
          <w:szCs w:val="20"/>
          <w:lang w:eastAsia="es-MX"/>
        </w:rPr>
      </w:pPr>
    </w:p>
    <w:p w14:paraId="3C1B5976" w14:textId="211DADB3" w:rsidR="00B05AC1" w:rsidRDefault="00B05AC1" w:rsidP="00B05AC1">
      <w:pPr>
        <w:pStyle w:val="Prrafodelista"/>
        <w:numPr>
          <w:ilvl w:val="0"/>
          <w:numId w:val="3"/>
        </w:num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INGRESOS</w:t>
      </w:r>
    </w:p>
    <w:p w14:paraId="2E07FDAC" w14:textId="77777777" w:rsidR="008318A9" w:rsidRPr="00B05AC1" w:rsidRDefault="008318A9" w:rsidP="008318A9">
      <w:pPr>
        <w:pStyle w:val="Prrafodelista"/>
        <w:spacing w:after="0" w:line="240" w:lineRule="auto"/>
        <w:jc w:val="both"/>
        <w:rPr>
          <w:rFonts w:asciiTheme="minorHAnsi" w:eastAsia="Times New Roman" w:hAnsiTheme="minorHAnsi" w:cs="Arial"/>
          <w:color w:val="000000"/>
          <w:sz w:val="20"/>
          <w:szCs w:val="20"/>
          <w:lang w:eastAsia="es-MX"/>
        </w:rPr>
      </w:pPr>
    </w:p>
    <w:p w14:paraId="650D5837" w14:textId="60853BBC" w:rsidR="00B05AC1" w:rsidRPr="00B05AC1" w:rsidRDefault="00B05AC1" w:rsidP="00B05AC1">
      <w:pPr>
        <w:spacing w:after="0" w:line="240" w:lineRule="auto"/>
        <w:contextualSpacing/>
        <w:jc w:val="both"/>
        <w:rPr>
          <w:rFonts w:asciiTheme="minorHAnsi" w:eastAsia="Times New Roman" w:hAnsiTheme="minorHAnsi" w:cs="Arial"/>
          <w:color w:val="000000"/>
          <w:sz w:val="20"/>
          <w:szCs w:val="20"/>
          <w:lang w:eastAsia="es-MX"/>
        </w:rPr>
      </w:pPr>
      <w:r>
        <w:rPr>
          <w:rFonts w:asciiTheme="minorHAnsi" w:eastAsia="Times New Roman" w:hAnsiTheme="minorHAnsi" w:cs="Arial"/>
          <w:noProof/>
          <w:color w:val="000000"/>
          <w:sz w:val="20"/>
          <w:szCs w:val="20"/>
          <w:lang w:eastAsia="es-MX"/>
        </w:rPr>
        <w:drawing>
          <wp:inline distT="0" distB="0" distL="0" distR="0" wp14:anchorId="2A59DB25" wp14:editId="1428139D">
            <wp:extent cx="6151880" cy="781050"/>
            <wp:effectExtent l="0" t="0" r="1270" b="0"/>
            <wp:docPr id="19524628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781050"/>
                    </a:xfrm>
                    <a:prstGeom prst="rect">
                      <a:avLst/>
                    </a:prstGeom>
                    <a:noFill/>
                    <a:ln>
                      <a:noFill/>
                    </a:ln>
                  </pic:spPr>
                </pic:pic>
              </a:graphicData>
            </a:graphic>
          </wp:inline>
        </w:drawing>
      </w:r>
    </w:p>
    <w:p w14:paraId="0305CEA0" w14:textId="77777777" w:rsidR="0012493A" w:rsidRDefault="0012493A" w:rsidP="00516A8F">
      <w:pPr>
        <w:tabs>
          <w:tab w:val="left" w:leader="underscore" w:pos="9639"/>
        </w:tabs>
        <w:spacing w:after="0" w:line="240" w:lineRule="auto"/>
        <w:jc w:val="both"/>
        <w:rPr>
          <w:rFonts w:cs="Calibri"/>
        </w:rPr>
      </w:pPr>
    </w:p>
    <w:p w14:paraId="52404B37" w14:textId="6C0C29C9" w:rsidR="00B05AC1" w:rsidRPr="008318A9" w:rsidRDefault="00B05AC1" w:rsidP="008318A9">
      <w:pPr>
        <w:pStyle w:val="Prrafodelista"/>
        <w:numPr>
          <w:ilvl w:val="0"/>
          <w:numId w:val="3"/>
        </w:numPr>
        <w:tabs>
          <w:tab w:val="left" w:leader="underscore" w:pos="9639"/>
        </w:tabs>
        <w:spacing w:after="0" w:line="240" w:lineRule="auto"/>
        <w:jc w:val="both"/>
        <w:rPr>
          <w:rFonts w:cs="Calibri"/>
        </w:rPr>
      </w:pPr>
      <w:r w:rsidRPr="008318A9">
        <w:rPr>
          <w:rFonts w:cs="Calibri"/>
        </w:rPr>
        <w:t>EGRESOS</w:t>
      </w:r>
    </w:p>
    <w:p w14:paraId="6E6FDC1B" w14:textId="77777777" w:rsidR="008318A9" w:rsidRPr="00B05AC1" w:rsidRDefault="008318A9" w:rsidP="00B05AC1">
      <w:pPr>
        <w:pStyle w:val="Prrafodelista"/>
        <w:numPr>
          <w:ilvl w:val="0"/>
          <w:numId w:val="4"/>
        </w:numPr>
        <w:tabs>
          <w:tab w:val="left" w:leader="underscore" w:pos="9639"/>
        </w:tabs>
        <w:spacing w:after="0" w:line="240" w:lineRule="auto"/>
        <w:jc w:val="both"/>
        <w:rPr>
          <w:rFonts w:cs="Calibri"/>
        </w:rPr>
      </w:pPr>
    </w:p>
    <w:p w14:paraId="6C856B00" w14:textId="7C3769E4" w:rsidR="00A26ACE" w:rsidRPr="00A26ACE" w:rsidRDefault="008318A9" w:rsidP="00A26ACE">
      <w:pPr>
        <w:tabs>
          <w:tab w:val="left" w:leader="underscore" w:pos="9639"/>
        </w:tabs>
        <w:spacing w:after="0" w:line="240" w:lineRule="auto"/>
        <w:jc w:val="both"/>
        <w:rPr>
          <w:rFonts w:cs="Calibri"/>
        </w:rPr>
      </w:pPr>
      <w:r>
        <w:rPr>
          <w:noProof/>
        </w:rPr>
        <w:drawing>
          <wp:inline distT="0" distB="0" distL="0" distR="0" wp14:anchorId="5E1FA297" wp14:editId="35520AE8">
            <wp:extent cx="6143625" cy="695325"/>
            <wp:effectExtent l="0" t="0" r="9525" b="9525"/>
            <wp:docPr id="8532747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3625" cy="695325"/>
                    </a:xfrm>
                    <a:prstGeom prst="rect">
                      <a:avLst/>
                    </a:prstGeom>
                    <a:noFill/>
                    <a:ln>
                      <a:noFill/>
                    </a:ln>
                  </pic:spPr>
                </pic:pic>
              </a:graphicData>
            </a:graphic>
          </wp:inline>
        </w:drawing>
      </w:r>
      <w:bookmarkStart w:id="2" w:name="_Toc161472868"/>
      <w:r w:rsidR="00A26ACE">
        <w:rPr>
          <w:rFonts w:cs="Calibri"/>
        </w:rPr>
        <w:t xml:space="preserve">    “</w:t>
      </w:r>
      <w:r w:rsidR="00A26ACE" w:rsidRPr="00C4625D">
        <w:rPr>
          <w:rFonts w:cs="Calibri"/>
        </w:rPr>
        <w:t>Bajo protesta de decir verdad declaramos que los Estados Financieros y sus notas, son razonablemente correctos y son responsabilidad del emisor”</w:t>
      </w:r>
    </w:p>
    <w:p w14:paraId="11C32664" w14:textId="77777777" w:rsidR="00A26ACE" w:rsidRDefault="00A26ACE" w:rsidP="000C3365">
      <w:pPr>
        <w:pStyle w:val="Ttulo2"/>
        <w:rPr>
          <w:rFonts w:asciiTheme="minorHAnsi" w:hAnsiTheme="minorHAnsi" w:cstheme="minorHAnsi"/>
          <w:b/>
          <w:color w:val="auto"/>
          <w:sz w:val="22"/>
        </w:rPr>
      </w:pPr>
    </w:p>
    <w:p w14:paraId="08136E94" w14:textId="06A47F28"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A726A28" w14:textId="77777777" w:rsidR="008318A9" w:rsidRPr="000B537F" w:rsidRDefault="008318A9" w:rsidP="008318A9">
      <w:pPr>
        <w:contextualSpacing/>
        <w:jc w:val="both"/>
        <w:rPr>
          <w:rFonts w:asciiTheme="minorHAnsi" w:hAnsiTheme="minorHAnsi" w:cs="Arial"/>
          <w:sz w:val="20"/>
          <w:szCs w:val="20"/>
        </w:rPr>
      </w:pPr>
      <w:r w:rsidRPr="000B537F">
        <w:rPr>
          <w:rFonts w:asciiTheme="minorHAnsi" w:hAnsiTheme="minorHAnsi" w:cs="Arial"/>
          <w:sz w:val="20"/>
          <w:szCs w:val="20"/>
        </w:rPr>
        <w:t>La Institución que brinda atención a personas vulnerables mediante programas de asistencia social, con el objetivo de elevar su calidad de vida, así como la promoción de la integración familiar y el desarrollo de valores.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90EEC" w14:textId="08C1C66A" w:rsidR="00CB41C4" w:rsidRPr="00E74967" w:rsidRDefault="008318A9" w:rsidP="00CB41C4">
      <w:pPr>
        <w:tabs>
          <w:tab w:val="left" w:leader="underscore" w:pos="9639"/>
        </w:tabs>
        <w:spacing w:after="0" w:line="240" w:lineRule="auto"/>
        <w:contextualSpacing/>
        <w:jc w:val="both"/>
        <w:rPr>
          <w:rFonts w:cs="Calibri"/>
        </w:rPr>
      </w:pPr>
      <w:r w:rsidRPr="002B60D1">
        <w:rPr>
          <w:rFonts w:asciiTheme="minorHAnsi" w:hAnsiTheme="minorHAnsi" w:cs="Calibri"/>
          <w:sz w:val="20"/>
          <w:szCs w:val="20"/>
        </w:rPr>
        <w:t>Asistencia Social, otros servicios de orientación y trabajo social.</w:t>
      </w:r>
      <w:r w:rsidRPr="002B60D1">
        <w:rPr>
          <w:rFonts w:asciiTheme="minorHAnsi" w:hAnsiTheme="minorHAnsi" w:cs="Calibri"/>
          <w:sz w:val="20"/>
          <w:szCs w:val="20"/>
        </w:rPr>
        <w:cr/>
      </w:r>
    </w:p>
    <w:p w14:paraId="2D21CE61" w14:textId="343EC5E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8318A9">
        <w:rPr>
          <w:rFonts w:cs="Calibri"/>
        </w:rPr>
        <w:t>.</w:t>
      </w:r>
    </w:p>
    <w:p w14:paraId="04F7186A" w14:textId="41CF4083" w:rsidR="007D1E76" w:rsidRPr="00E74967" w:rsidRDefault="008318A9" w:rsidP="00CB41C4">
      <w:pPr>
        <w:tabs>
          <w:tab w:val="left" w:leader="underscore" w:pos="9639"/>
        </w:tabs>
        <w:spacing w:after="0" w:line="240" w:lineRule="auto"/>
        <w:jc w:val="both"/>
        <w:rPr>
          <w:rFonts w:cs="Calibri"/>
        </w:rPr>
      </w:pPr>
      <w:r>
        <w:rPr>
          <w:rFonts w:cs="Calibri"/>
        </w:rPr>
        <w:t>Enero a diciembre de 2024</w:t>
      </w:r>
    </w:p>
    <w:p w14:paraId="16703E54" w14:textId="77777777" w:rsidR="007D1E76" w:rsidRPr="00E74967" w:rsidRDefault="007D1E76" w:rsidP="00CB41C4">
      <w:pPr>
        <w:tabs>
          <w:tab w:val="left" w:leader="underscore" w:pos="9639"/>
        </w:tabs>
        <w:spacing w:after="0" w:line="240" w:lineRule="auto"/>
        <w:jc w:val="both"/>
        <w:rPr>
          <w:rFonts w:cs="Calibri"/>
        </w:rPr>
      </w:pPr>
    </w:p>
    <w:p w14:paraId="711C6095" w14:textId="384847BD" w:rsidR="007D1E76" w:rsidRDefault="007D1E76" w:rsidP="008318A9">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0246E76E" w14:textId="77777777" w:rsidR="008318A9" w:rsidRDefault="008318A9" w:rsidP="008318A9">
      <w:pPr>
        <w:tabs>
          <w:tab w:val="left" w:leader="underscore" w:pos="9639"/>
        </w:tabs>
        <w:spacing w:after="0" w:line="240" w:lineRule="auto"/>
        <w:contextualSpacing/>
        <w:jc w:val="both"/>
        <w:rPr>
          <w:rFonts w:asciiTheme="minorHAnsi" w:hAnsiTheme="minorHAnsi" w:cs="Calibri"/>
          <w:sz w:val="20"/>
          <w:szCs w:val="20"/>
        </w:rPr>
      </w:pPr>
      <w:r>
        <w:rPr>
          <w:rFonts w:asciiTheme="minorHAnsi" w:hAnsiTheme="minorHAnsi" w:cs="Calibri"/>
          <w:sz w:val="20"/>
          <w:szCs w:val="20"/>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D20E944" w14:textId="77777777" w:rsidR="008318A9" w:rsidRPr="000B537F" w:rsidRDefault="008318A9" w:rsidP="008318A9">
      <w:pPr>
        <w:spacing w:after="0" w:line="240" w:lineRule="auto"/>
        <w:contextualSpacing/>
        <w:jc w:val="both"/>
        <w:rPr>
          <w:rFonts w:asciiTheme="minorHAnsi" w:eastAsia="Times New Roman" w:hAnsiTheme="minorHAnsi" w:cs="Arial"/>
          <w:color w:val="000000"/>
          <w:sz w:val="20"/>
          <w:szCs w:val="20"/>
          <w:lang w:eastAsia="es-MX"/>
        </w:rPr>
      </w:pPr>
      <w:r w:rsidRPr="000B537F">
        <w:rPr>
          <w:rFonts w:asciiTheme="minorHAnsi" w:eastAsia="Times New Roman" w:hAnsiTheme="minorHAnsi" w:cs="Arial"/>
          <w:color w:val="000000"/>
          <w:sz w:val="20"/>
          <w:szCs w:val="20"/>
          <w:lang w:eastAsia="es-MX"/>
        </w:rPr>
        <w:t>Persona Moral con Fines no Lucrativos</w:t>
      </w:r>
    </w:p>
    <w:p w14:paraId="32A1A008" w14:textId="77777777" w:rsidR="008318A9"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sidRPr="000B537F">
        <w:rPr>
          <w:rFonts w:asciiTheme="minorHAnsi" w:eastAsia="Times New Roman" w:hAnsiTheme="minorHAnsi" w:cs="Arial"/>
          <w:color w:val="000000"/>
          <w:sz w:val="20"/>
          <w:szCs w:val="20"/>
          <w:lang w:eastAsia="es-MX"/>
        </w:rPr>
        <w:t>Retención de ISR por sueldos y salarios</w:t>
      </w:r>
    </w:p>
    <w:p w14:paraId="7D8533EF" w14:textId="77777777" w:rsidR="008318A9"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Retención de ISR por asimilados a salarios</w:t>
      </w:r>
    </w:p>
    <w:p w14:paraId="7A2660A4" w14:textId="77777777" w:rsidR="008318A9"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Retención de ISR por arrendamiento</w:t>
      </w:r>
    </w:p>
    <w:p w14:paraId="2D56677E" w14:textId="77777777" w:rsidR="008318A9"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Retención de ISR por servicios profesionales</w:t>
      </w:r>
    </w:p>
    <w:p w14:paraId="66CD269C" w14:textId="77777777" w:rsidR="008318A9" w:rsidRPr="000B537F"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Retención de ISR Régimen de Incorporación Fiscal</w:t>
      </w:r>
    </w:p>
    <w:p w14:paraId="674F26B4" w14:textId="77777777" w:rsidR="008318A9" w:rsidRPr="000B537F"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sidRPr="000B537F">
        <w:rPr>
          <w:rFonts w:asciiTheme="minorHAnsi" w:eastAsia="Times New Roman" w:hAnsiTheme="minorHAnsi" w:cs="Arial"/>
          <w:color w:val="000000"/>
          <w:sz w:val="20"/>
          <w:szCs w:val="20"/>
          <w:lang w:eastAsia="es-MX"/>
        </w:rPr>
        <w:t xml:space="preserve">Pago de Impuesto </w:t>
      </w:r>
      <w:r>
        <w:rPr>
          <w:rFonts w:asciiTheme="minorHAnsi" w:eastAsia="Times New Roman" w:hAnsiTheme="minorHAnsi" w:cs="Arial"/>
          <w:color w:val="000000"/>
          <w:sz w:val="20"/>
          <w:szCs w:val="20"/>
          <w:lang w:eastAsia="es-MX"/>
        </w:rPr>
        <w:t>3</w:t>
      </w:r>
      <w:r w:rsidRPr="000B537F">
        <w:rPr>
          <w:rFonts w:asciiTheme="minorHAnsi" w:eastAsia="Times New Roman" w:hAnsiTheme="minorHAnsi" w:cs="Arial"/>
          <w:color w:val="000000"/>
          <w:sz w:val="20"/>
          <w:szCs w:val="20"/>
          <w:lang w:eastAsia="es-MX"/>
        </w:rPr>
        <w:t>% Sobre Nóminas</w:t>
      </w:r>
    </w:p>
    <w:p w14:paraId="628CC724" w14:textId="77777777" w:rsidR="008318A9"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sidRPr="000B537F">
        <w:rPr>
          <w:rFonts w:asciiTheme="minorHAnsi" w:eastAsia="Times New Roman" w:hAnsiTheme="minorHAnsi" w:cs="Arial"/>
          <w:color w:val="000000"/>
          <w:sz w:val="20"/>
          <w:szCs w:val="20"/>
          <w:lang w:eastAsia="es-MX"/>
        </w:rPr>
        <w:t>Pago definitivo de IVA por arrendamientos</w:t>
      </w:r>
    </w:p>
    <w:p w14:paraId="4DC0A4AB" w14:textId="77777777" w:rsidR="008318A9"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Impuestos cedulares por Servicios Profesionales</w:t>
      </w:r>
    </w:p>
    <w:p w14:paraId="7279FFDF" w14:textId="77777777" w:rsidR="008318A9"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Impuestos cedulares por Arrendamiento</w:t>
      </w:r>
    </w:p>
    <w:p w14:paraId="4D5A005A" w14:textId="77777777" w:rsidR="008318A9" w:rsidRDefault="008318A9" w:rsidP="008318A9">
      <w:pPr>
        <w:pStyle w:val="Prrafodelista"/>
        <w:numPr>
          <w:ilvl w:val="0"/>
          <w:numId w:val="5"/>
        </w:numPr>
        <w:spacing w:after="0" w:line="240" w:lineRule="auto"/>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Declaración mensual informativa de operaciones con terceros</w:t>
      </w:r>
    </w:p>
    <w:p w14:paraId="10CC5DBB" w14:textId="77777777" w:rsidR="008318A9" w:rsidRPr="000B537F" w:rsidRDefault="008318A9" w:rsidP="008318A9">
      <w:pPr>
        <w:pStyle w:val="Prrafodelista"/>
        <w:spacing w:after="0" w:line="240" w:lineRule="auto"/>
        <w:jc w:val="both"/>
        <w:rPr>
          <w:rFonts w:asciiTheme="minorHAnsi" w:eastAsia="Times New Roman" w:hAnsiTheme="minorHAnsi" w:cs="Arial"/>
          <w:color w:val="000000"/>
          <w:sz w:val="20"/>
          <w:szCs w:val="20"/>
          <w:lang w:eastAsia="es-MX"/>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0826C55" w:rsidR="007D1E76" w:rsidRDefault="008318A9" w:rsidP="00CB41C4">
      <w:pPr>
        <w:tabs>
          <w:tab w:val="left" w:leader="underscore" w:pos="9639"/>
        </w:tabs>
        <w:spacing w:after="0" w:line="240" w:lineRule="auto"/>
        <w:jc w:val="both"/>
        <w:rPr>
          <w:rFonts w:cs="Calibri"/>
        </w:rPr>
      </w:pPr>
      <w:r>
        <w:rPr>
          <w:rFonts w:asciiTheme="minorHAnsi" w:hAnsiTheme="minorHAnsi" w:cs="Calibri"/>
          <w:noProof/>
          <w:sz w:val="20"/>
          <w:szCs w:val="20"/>
        </w:rPr>
        <w:lastRenderedPageBreak/>
        <w:drawing>
          <wp:inline distT="0" distB="0" distL="0" distR="0" wp14:anchorId="5682E7FF" wp14:editId="770B09DC">
            <wp:extent cx="6150610" cy="4356100"/>
            <wp:effectExtent l="0" t="0" r="254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0610" cy="4356100"/>
                    </a:xfrm>
                    <a:prstGeom prst="rect">
                      <a:avLst/>
                    </a:prstGeom>
                    <a:noFill/>
                    <a:ln>
                      <a:noFill/>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42A4B90" w14:textId="15BC5E1B" w:rsidR="00CB41C4" w:rsidRDefault="008318A9" w:rsidP="00CB41C4">
      <w:pPr>
        <w:tabs>
          <w:tab w:val="left" w:leader="underscore" w:pos="9639"/>
        </w:tabs>
        <w:spacing w:after="0" w:line="240" w:lineRule="auto"/>
        <w:jc w:val="both"/>
        <w:rPr>
          <w:rFonts w:cs="Calibri"/>
        </w:rPr>
      </w:pPr>
      <w:r w:rsidRPr="008318A9">
        <w:rPr>
          <w:rFonts w:cs="Calibri"/>
        </w:rPr>
        <w:t>NO APLICA ya que no se tiene fideicomisos</w:t>
      </w:r>
    </w:p>
    <w:p w14:paraId="424D435B" w14:textId="77777777" w:rsidR="00A26ACE" w:rsidRDefault="00A26ACE" w:rsidP="00CB41C4">
      <w:pPr>
        <w:tabs>
          <w:tab w:val="left" w:leader="underscore" w:pos="9639"/>
        </w:tabs>
        <w:spacing w:after="0" w:line="240" w:lineRule="auto"/>
        <w:jc w:val="both"/>
        <w:rPr>
          <w:rFonts w:cs="Calibri"/>
        </w:rPr>
      </w:pPr>
    </w:p>
    <w:p w14:paraId="54C84D26" w14:textId="23449940" w:rsidR="00A26ACE"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1ECA05B0" w14:textId="77777777" w:rsidR="00A26ACE" w:rsidRDefault="00A26ACE" w:rsidP="000C3365">
      <w:pPr>
        <w:pStyle w:val="Ttulo2"/>
        <w:rPr>
          <w:rFonts w:cs="Calibri"/>
        </w:rPr>
      </w:pPr>
      <w:bookmarkStart w:id="3" w:name="_Toc161472869"/>
    </w:p>
    <w:p w14:paraId="12E280BB" w14:textId="21D5B694" w:rsidR="007D1E76" w:rsidRPr="00A26ACE" w:rsidRDefault="006F77A8" w:rsidP="000C3365">
      <w:pPr>
        <w:pStyle w:val="Ttulo2"/>
        <w:rPr>
          <w:rFonts w:cs="Calibri"/>
        </w:rPr>
      </w:pPr>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66A0B5DD" w:rsidR="007D1E76" w:rsidRPr="00E74967" w:rsidRDefault="008318A9" w:rsidP="00CB41C4">
      <w:pPr>
        <w:tabs>
          <w:tab w:val="left" w:leader="underscore" w:pos="9639"/>
        </w:tabs>
        <w:spacing w:after="0" w:line="240" w:lineRule="auto"/>
        <w:jc w:val="both"/>
        <w:rPr>
          <w:rFonts w:cs="Calibri"/>
        </w:rPr>
      </w:pPr>
      <w:r>
        <w:rPr>
          <w:rFonts w:cs="Calibri"/>
        </w:rPr>
        <w:t>Si</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2DCF252C" w14:textId="106B0331" w:rsidR="007D1E76" w:rsidRDefault="008318A9" w:rsidP="00CB41C4">
      <w:pPr>
        <w:tabs>
          <w:tab w:val="left" w:leader="underscore" w:pos="9639"/>
        </w:tabs>
        <w:spacing w:after="0" w:line="240" w:lineRule="auto"/>
        <w:jc w:val="both"/>
        <w:rPr>
          <w:rFonts w:cs="Calibri"/>
        </w:rPr>
      </w:pPr>
      <w:r>
        <w:rPr>
          <w:rFonts w:cs="Calibri"/>
        </w:rPr>
        <w:t>Si</w:t>
      </w:r>
    </w:p>
    <w:p w14:paraId="0B4E7107" w14:textId="77777777" w:rsidR="008318A9" w:rsidRPr="00E74967" w:rsidRDefault="008318A9"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5D27B45" w14:textId="77777777" w:rsidR="008318A9" w:rsidRDefault="008318A9" w:rsidP="008318A9">
      <w:pPr>
        <w:tabs>
          <w:tab w:val="left" w:leader="underscore" w:pos="9639"/>
        </w:tabs>
        <w:spacing w:after="0" w:line="240" w:lineRule="auto"/>
        <w:contextualSpacing/>
        <w:jc w:val="both"/>
      </w:pPr>
      <w:r w:rsidRPr="00CF4AD7">
        <w:rPr>
          <w:b/>
        </w:rPr>
        <w:t>1) SUSTANCIA ECONÓMICA</w:t>
      </w:r>
    </w:p>
    <w:p w14:paraId="56CFF0EA"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Es el reconocimiento contable de las transacciones, transformaciones internas y otros eventos, que afectan económicamente al ente público y delimitan la operación del Sistema de Contabilidad Gubernamental (</w:t>
      </w:r>
      <w:proofErr w:type="spellStart"/>
      <w:r w:rsidRPr="00984447">
        <w:rPr>
          <w:rFonts w:asciiTheme="minorHAnsi" w:hAnsiTheme="minorHAnsi" w:cs="Calibri"/>
          <w:sz w:val="20"/>
          <w:szCs w:val="20"/>
        </w:rPr>
        <w:t>SCG</w:t>
      </w:r>
      <w:proofErr w:type="spellEnd"/>
      <w:r w:rsidRPr="00984447">
        <w:rPr>
          <w:rFonts w:asciiTheme="minorHAnsi" w:hAnsiTheme="minorHAnsi" w:cs="Calibri"/>
          <w:sz w:val="20"/>
          <w:szCs w:val="20"/>
        </w:rPr>
        <w:t xml:space="preserve">).  </w:t>
      </w:r>
    </w:p>
    <w:p w14:paraId="025A1B9A" w14:textId="77777777" w:rsidR="008318A9" w:rsidRDefault="008318A9" w:rsidP="008318A9">
      <w:pPr>
        <w:tabs>
          <w:tab w:val="left" w:leader="underscore" w:pos="9639"/>
        </w:tabs>
        <w:spacing w:after="0" w:line="240" w:lineRule="auto"/>
        <w:contextualSpacing/>
        <w:jc w:val="both"/>
      </w:pPr>
    </w:p>
    <w:p w14:paraId="55E18736" w14:textId="77777777" w:rsidR="008318A9" w:rsidRDefault="008318A9" w:rsidP="008318A9">
      <w:pPr>
        <w:tabs>
          <w:tab w:val="left" w:leader="underscore" w:pos="9639"/>
        </w:tabs>
        <w:spacing w:after="0" w:line="240" w:lineRule="auto"/>
        <w:contextualSpacing/>
        <w:jc w:val="both"/>
        <w:rPr>
          <w:b/>
        </w:rPr>
      </w:pPr>
      <w:r w:rsidRPr="00CF4AD7">
        <w:rPr>
          <w:b/>
        </w:rPr>
        <w:t>2) ENTES PÚBLICOS</w:t>
      </w:r>
    </w:p>
    <w:p w14:paraId="480CF929"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 xml:space="preserve">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w:t>
      </w:r>
    </w:p>
    <w:p w14:paraId="34BF82DF" w14:textId="77777777" w:rsidR="008318A9" w:rsidRDefault="008318A9" w:rsidP="008318A9">
      <w:pPr>
        <w:tabs>
          <w:tab w:val="left" w:leader="underscore" w:pos="9639"/>
        </w:tabs>
        <w:spacing w:after="0" w:line="240" w:lineRule="auto"/>
        <w:contextualSpacing/>
        <w:jc w:val="both"/>
      </w:pPr>
    </w:p>
    <w:p w14:paraId="320C6AD9" w14:textId="77777777" w:rsidR="008318A9" w:rsidRDefault="008318A9" w:rsidP="008318A9">
      <w:pPr>
        <w:tabs>
          <w:tab w:val="left" w:leader="underscore" w:pos="9639"/>
        </w:tabs>
        <w:spacing w:after="0" w:line="240" w:lineRule="auto"/>
        <w:contextualSpacing/>
        <w:jc w:val="both"/>
      </w:pPr>
      <w:r w:rsidRPr="00CF4AD7">
        <w:rPr>
          <w:b/>
        </w:rPr>
        <w:t>3) EXISTENCIA PERMANENTE</w:t>
      </w:r>
    </w:p>
    <w:p w14:paraId="216BC566"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La actividad del ente público se establece por tiempo indefinido, salvo disposición legal en la que se especifique lo contrario.</w:t>
      </w:r>
    </w:p>
    <w:p w14:paraId="3E80A73B" w14:textId="77777777" w:rsidR="008318A9" w:rsidRDefault="008318A9" w:rsidP="008318A9">
      <w:pPr>
        <w:tabs>
          <w:tab w:val="left" w:leader="underscore" w:pos="9639"/>
        </w:tabs>
        <w:spacing w:after="0" w:line="240" w:lineRule="auto"/>
        <w:contextualSpacing/>
        <w:jc w:val="both"/>
      </w:pPr>
    </w:p>
    <w:p w14:paraId="689C5FB8" w14:textId="77777777" w:rsidR="008318A9" w:rsidRDefault="008318A9" w:rsidP="008318A9">
      <w:pPr>
        <w:tabs>
          <w:tab w:val="left" w:leader="underscore" w:pos="9639"/>
        </w:tabs>
        <w:spacing w:after="0" w:line="240" w:lineRule="auto"/>
        <w:contextualSpacing/>
        <w:jc w:val="both"/>
        <w:rPr>
          <w:b/>
        </w:rPr>
      </w:pPr>
      <w:r w:rsidRPr="00CF4AD7">
        <w:rPr>
          <w:b/>
        </w:rPr>
        <w:t>4) REVELACIÓN SUFICIENTE</w:t>
      </w:r>
    </w:p>
    <w:p w14:paraId="5210F527"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Los estados y la información financiera deben mostrar amplia y claramente la situación financiera y los resultados del ente público.</w:t>
      </w:r>
    </w:p>
    <w:p w14:paraId="6F99B4CD" w14:textId="77777777" w:rsidR="008318A9" w:rsidRDefault="008318A9" w:rsidP="008318A9">
      <w:pPr>
        <w:tabs>
          <w:tab w:val="left" w:leader="underscore" w:pos="9639"/>
        </w:tabs>
        <w:spacing w:after="0" w:line="240" w:lineRule="auto"/>
        <w:contextualSpacing/>
        <w:jc w:val="both"/>
        <w:rPr>
          <w:rFonts w:asciiTheme="minorHAnsi" w:hAnsiTheme="minorHAnsi" w:cs="Calibri"/>
          <w:sz w:val="20"/>
          <w:szCs w:val="20"/>
        </w:rPr>
      </w:pPr>
    </w:p>
    <w:p w14:paraId="76BA224B" w14:textId="77777777" w:rsidR="008318A9" w:rsidRPr="00CF4AD7" w:rsidRDefault="008318A9" w:rsidP="008318A9">
      <w:pPr>
        <w:tabs>
          <w:tab w:val="left" w:leader="underscore" w:pos="9639"/>
        </w:tabs>
        <w:spacing w:after="0" w:line="240" w:lineRule="auto"/>
        <w:contextualSpacing/>
        <w:jc w:val="both"/>
        <w:rPr>
          <w:b/>
        </w:rPr>
      </w:pPr>
      <w:r w:rsidRPr="00CF4AD7">
        <w:rPr>
          <w:b/>
        </w:rPr>
        <w:t>5) IMPORTANCIA RELATIVA</w:t>
      </w:r>
    </w:p>
    <w:p w14:paraId="5DC280F8"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 xml:space="preserve">La información debe mostrar los aspectos importantes de la entidad que fueron reconocidos contablemente. </w:t>
      </w:r>
    </w:p>
    <w:p w14:paraId="09DA8F53" w14:textId="77777777" w:rsidR="008318A9" w:rsidRDefault="008318A9" w:rsidP="008318A9">
      <w:pPr>
        <w:tabs>
          <w:tab w:val="left" w:leader="underscore" w:pos="9639"/>
        </w:tabs>
        <w:spacing w:after="0" w:line="240" w:lineRule="auto"/>
        <w:contextualSpacing/>
        <w:jc w:val="both"/>
      </w:pPr>
    </w:p>
    <w:p w14:paraId="20B925D7" w14:textId="77777777" w:rsidR="008318A9" w:rsidRDefault="008318A9" w:rsidP="008318A9">
      <w:pPr>
        <w:tabs>
          <w:tab w:val="left" w:leader="underscore" w:pos="9639"/>
        </w:tabs>
        <w:spacing w:after="0" w:line="240" w:lineRule="auto"/>
        <w:contextualSpacing/>
        <w:jc w:val="both"/>
        <w:rPr>
          <w:b/>
        </w:rPr>
      </w:pPr>
      <w:r w:rsidRPr="00CF4AD7">
        <w:rPr>
          <w:b/>
        </w:rPr>
        <w:t>6) REGISTRO E INTEGRACIÓN PRESUPUESTARIA</w:t>
      </w:r>
    </w:p>
    <w:p w14:paraId="79ED75E7"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La información presupuestaria de los entes públicos se integra en la contabilidad en los mismos términos que se presentan en la ley de Ingresos y en el Decreto del Presupuesto Egresos, de acuerdo a la naturaleza económica que le corresponda. El registro presupuestario del ingreso y del egreso en los entes públicos se debe reflejar en la contabilidad, considerando sus efectos patrimoniales y su vinculación con las etapas presupuestarias correspondientes.</w:t>
      </w:r>
    </w:p>
    <w:p w14:paraId="25D12617" w14:textId="77777777" w:rsidR="008318A9" w:rsidRDefault="008318A9" w:rsidP="008318A9">
      <w:pPr>
        <w:tabs>
          <w:tab w:val="left" w:leader="underscore" w:pos="9639"/>
        </w:tabs>
        <w:spacing w:after="0" w:line="240" w:lineRule="auto"/>
        <w:contextualSpacing/>
        <w:jc w:val="both"/>
      </w:pPr>
    </w:p>
    <w:p w14:paraId="63AF0DE8" w14:textId="77777777" w:rsidR="008318A9" w:rsidRDefault="008318A9" w:rsidP="008318A9">
      <w:pPr>
        <w:tabs>
          <w:tab w:val="left" w:leader="underscore" w:pos="9639"/>
        </w:tabs>
        <w:spacing w:after="0" w:line="240" w:lineRule="auto"/>
        <w:contextualSpacing/>
        <w:jc w:val="both"/>
      </w:pPr>
      <w:r w:rsidRPr="00CF4AD7">
        <w:rPr>
          <w:b/>
        </w:rPr>
        <w:t>7) CONSOLIDACIÓN DE LA INFORMACIÓN FINANCIERA</w:t>
      </w:r>
      <w:r>
        <w:t xml:space="preserve"> </w:t>
      </w:r>
    </w:p>
    <w:p w14:paraId="4DB5570B"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 xml:space="preserve">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w:t>
      </w:r>
    </w:p>
    <w:p w14:paraId="40D93210" w14:textId="77777777" w:rsidR="008318A9" w:rsidRDefault="008318A9" w:rsidP="008318A9">
      <w:pPr>
        <w:tabs>
          <w:tab w:val="left" w:leader="underscore" w:pos="9639"/>
        </w:tabs>
        <w:spacing w:after="0" w:line="240" w:lineRule="auto"/>
        <w:contextualSpacing/>
        <w:jc w:val="both"/>
      </w:pPr>
    </w:p>
    <w:p w14:paraId="67626D52" w14:textId="77777777" w:rsidR="008318A9" w:rsidRPr="00984447" w:rsidRDefault="008318A9" w:rsidP="008318A9">
      <w:pPr>
        <w:tabs>
          <w:tab w:val="left" w:leader="underscore" w:pos="9639"/>
        </w:tabs>
        <w:spacing w:after="0" w:line="240" w:lineRule="auto"/>
        <w:contextualSpacing/>
        <w:jc w:val="both"/>
        <w:rPr>
          <w:b/>
        </w:rPr>
      </w:pPr>
      <w:r w:rsidRPr="00984447">
        <w:rPr>
          <w:b/>
        </w:rPr>
        <w:t xml:space="preserve">8) DEVENGO CONTABLE </w:t>
      </w:r>
    </w:p>
    <w:p w14:paraId="4608D701"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 </w:t>
      </w:r>
    </w:p>
    <w:p w14:paraId="5C2D10A3" w14:textId="77777777" w:rsidR="008318A9" w:rsidRDefault="008318A9" w:rsidP="008318A9">
      <w:pPr>
        <w:tabs>
          <w:tab w:val="left" w:leader="underscore" w:pos="9639"/>
        </w:tabs>
        <w:spacing w:after="0" w:line="240" w:lineRule="auto"/>
        <w:contextualSpacing/>
        <w:jc w:val="both"/>
      </w:pPr>
    </w:p>
    <w:p w14:paraId="47E41DCC" w14:textId="77777777" w:rsidR="008318A9" w:rsidRPr="00984447" w:rsidRDefault="008318A9" w:rsidP="008318A9">
      <w:pPr>
        <w:tabs>
          <w:tab w:val="left" w:leader="underscore" w:pos="9639"/>
        </w:tabs>
        <w:spacing w:after="0" w:line="240" w:lineRule="auto"/>
        <w:contextualSpacing/>
        <w:jc w:val="both"/>
        <w:rPr>
          <w:b/>
        </w:rPr>
      </w:pPr>
      <w:r w:rsidRPr="00984447">
        <w:rPr>
          <w:b/>
        </w:rPr>
        <w:t xml:space="preserve">9) VALUACIÓN </w:t>
      </w:r>
    </w:p>
    <w:p w14:paraId="1557FA1F"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Todos los eventos que afecten económicamente al ente público deben ser cuantificados en términos monetarios y se registrarán al costo histórico o al valor económico más objetivo registrándose en moneda nacional.</w:t>
      </w:r>
    </w:p>
    <w:p w14:paraId="6B233706" w14:textId="77777777" w:rsidR="008318A9" w:rsidRDefault="008318A9" w:rsidP="008318A9">
      <w:pPr>
        <w:tabs>
          <w:tab w:val="left" w:leader="underscore" w:pos="9639"/>
        </w:tabs>
        <w:spacing w:after="0" w:line="240" w:lineRule="auto"/>
        <w:contextualSpacing/>
        <w:jc w:val="both"/>
      </w:pPr>
    </w:p>
    <w:p w14:paraId="4102D11F" w14:textId="77777777" w:rsidR="008318A9" w:rsidRDefault="008318A9" w:rsidP="008318A9">
      <w:pPr>
        <w:tabs>
          <w:tab w:val="left" w:leader="underscore" w:pos="9639"/>
        </w:tabs>
        <w:spacing w:after="0" w:line="240" w:lineRule="auto"/>
        <w:contextualSpacing/>
        <w:jc w:val="both"/>
      </w:pPr>
      <w:r w:rsidRPr="00984447">
        <w:rPr>
          <w:b/>
        </w:rPr>
        <w:lastRenderedPageBreak/>
        <w:t>10) DUALIDAD ECONÓMICA</w:t>
      </w:r>
      <w:r>
        <w:t xml:space="preserve"> </w:t>
      </w:r>
    </w:p>
    <w:p w14:paraId="241D7A7D" w14:textId="77777777" w:rsidR="008318A9" w:rsidRPr="00984447"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19F0DA4A" w14:textId="77777777" w:rsidR="008318A9" w:rsidRDefault="008318A9" w:rsidP="008318A9">
      <w:pPr>
        <w:tabs>
          <w:tab w:val="left" w:leader="underscore" w:pos="9639"/>
        </w:tabs>
        <w:spacing w:after="0" w:line="240" w:lineRule="auto"/>
        <w:contextualSpacing/>
        <w:jc w:val="both"/>
      </w:pPr>
    </w:p>
    <w:p w14:paraId="47F30A4C" w14:textId="77777777" w:rsidR="008318A9" w:rsidRPr="00984447" w:rsidRDefault="008318A9" w:rsidP="008318A9">
      <w:pPr>
        <w:tabs>
          <w:tab w:val="left" w:leader="underscore" w:pos="9639"/>
        </w:tabs>
        <w:spacing w:after="0" w:line="240" w:lineRule="auto"/>
        <w:contextualSpacing/>
        <w:jc w:val="both"/>
        <w:rPr>
          <w:b/>
        </w:rPr>
      </w:pPr>
      <w:r w:rsidRPr="00984447">
        <w:rPr>
          <w:b/>
        </w:rPr>
        <w:t xml:space="preserve">11) CONSISTENCIA </w:t>
      </w:r>
    </w:p>
    <w:p w14:paraId="51DECF0A" w14:textId="77777777" w:rsidR="008318A9" w:rsidRPr="000B537F"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984447">
        <w:rPr>
          <w:rFonts w:asciiTheme="minorHAnsi" w:hAnsiTheme="minorHAnsi" w:cs="Calibri"/>
          <w:sz w:val="20"/>
          <w:szCs w:val="20"/>
        </w:rPr>
        <w:t xml:space="preserve">Ante la existencia de operaciones similares en un ente público, debe corresponder un mismo tratamiento contable, el cual debe permanecer a través del tiempo, en tanto no cambie la esencia económica de las operaciones. </w:t>
      </w:r>
    </w:p>
    <w:p w14:paraId="361E487A" w14:textId="77777777" w:rsidR="008318A9" w:rsidRDefault="008318A9" w:rsidP="00CB41C4">
      <w:pPr>
        <w:tabs>
          <w:tab w:val="left" w:leader="underscore" w:pos="9639"/>
        </w:tabs>
        <w:spacing w:after="0" w:line="240" w:lineRule="auto"/>
        <w:jc w:val="both"/>
        <w:rPr>
          <w:rFonts w:cs="Calibri"/>
          <w:b/>
        </w:rPr>
      </w:pPr>
    </w:p>
    <w:p w14:paraId="7989D893" w14:textId="76D7211D"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2977AB3" w14:textId="172EA1A0" w:rsidR="007D1E76" w:rsidRDefault="008318A9" w:rsidP="00CB41C4">
      <w:pPr>
        <w:tabs>
          <w:tab w:val="left" w:leader="underscore" w:pos="9639"/>
        </w:tabs>
        <w:spacing w:after="0" w:line="240" w:lineRule="auto"/>
        <w:jc w:val="both"/>
        <w:rPr>
          <w:rFonts w:cs="Calibri"/>
        </w:rPr>
      </w:pPr>
      <w:r>
        <w:rPr>
          <w:rFonts w:cs="Calibri"/>
        </w:rPr>
        <w:t>No Aplica</w:t>
      </w:r>
    </w:p>
    <w:p w14:paraId="2A19968C" w14:textId="77777777" w:rsidR="008318A9" w:rsidRPr="00E74967" w:rsidRDefault="008318A9"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37BBA268" w:rsidR="007D1E76" w:rsidRDefault="008318A9" w:rsidP="00CB41C4">
      <w:pPr>
        <w:tabs>
          <w:tab w:val="left" w:leader="underscore" w:pos="9639"/>
        </w:tabs>
        <w:spacing w:after="0" w:line="240" w:lineRule="auto"/>
        <w:jc w:val="both"/>
        <w:rPr>
          <w:rFonts w:cs="Calibri"/>
        </w:rPr>
      </w:pPr>
      <w:r>
        <w:rPr>
          <w:rFonts w:cs="Calibri"/>
        </w:rPr>
        <w:t>No Aplica</w:t>
      </w:r>
    </w:p>
    <w:p w14:paraId="54E4BEAA" w14:textId="77777777" w:rsidR="008318A9" w:rsidRPr="00E74967" w:rsidRDefault="008318A9"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09B67C84" w:rsidR="007D1E76" w:rsidRPr="00E74967" w:rsidRDefault="008318A9" w:rsidP="00CB41C4">
      <w:pPr>
        <w:tabs>
          <w:tab w:val="left" w:leader="underscore" w:pos="9639"/>
        </w:tabs>
        <w:spacing w:after="0" w:line="240" w:lineRule="auto"/>
        <w:jc w:val="both"/>
        <w:rPr>
          <w:rFonts w:cs="Calibri"/>
        </w:rPr>
      </w:pPr>
      <w:r>
        <w:rPr>
          <w:rFonts w:cs="Calibri"/>
        </w:rPr>
        <w:t>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3C2039EB" w:rsidR="007D1E76" w:rsidRPr="00E74967" w:rsidRDefault="008318A9" w:rsidP="00CB41C4">
      <w:pPr>
        <w:tabs>
          <w:tab w:val="left" w:leader="underscore" w:pos="9639"/>
        </w:tabs>
        <w:spacing w:after="0" w:line="240" w:lineRule="auto"/>
        <w:jc w:val="both"/>
        <w:rPr>
          <w:rFonts w:cs="Calibri"/>
        </w:rPr>
      </w:pPr>
      <w:r>
        <w:rPr>
          <w:rFonts w:cs="Calibri"/>
        </w:rPr>
        <w:t>No Aplica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4EBDE3E5" w:rsidR="006F0687" w:rsidRDefault="008318A9" w:rsidP="006F0687">
      <w:pPr>
        <w:tabs>
          <w:tab w:val="left" w:leader="underscore" w:pos="9639"/>
        </w:tabs>
        <w:spacing w:after="0" w:line="240" w:lineRule="auto"/>
        <w:jc w:val="both"/>
        <w:rPr>
          <w:rFonts w:cs="Calibri"/>
        </w:rPr>
      </w:pPr>
      <w:r>
        <w:rPr>
          <w:rFonts w:cs="Calibri"/>
        </w:rPr>
        <w:t>No Aplica</w:t>
      </w:r>
    </w:p>
    <w:p w14:paraId="44D79BAA" w14:textId="77777777" w:rsidR="00A26ACE" w:rsidRDefault="00A26ACE" w:rsidP="006F0687">
      <w:pPr>
        <w:tabs>
          <w:tab w:val="left" w:leader="underscore" w:pos="9639"/>
        </w:tabs>
        <w:spacing w:after="0" w:line="240" w:lineRule="auto"/>
        <w:jc w:val="both"/>
        <w:rPr>
          <w:rFonts w:cs="Calibri"/>
        </w:rPr>
      </w:pPr>
    </w:p>
    <w:p w14:paraId="09950830" w14:textId="3567C592" w:rsidR="00A26ACE" w:rsidRPr="00E74967" w:rsidRDefault="00A26ACE" w:rsidP="006F0687">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158EC49E" w14:textId="77777777" w:rsidR="007D1E76" w:rsidRPr="00E74967" w:rsidRDefault="007D1E76" w:rsidP="00CB41C4">
      <w:pPr>
        <w:tabs>
          <w:tab w:val="left" w:leader="underscore" w:pos="9639"/>
        </w:tabs>
        <w:spacing w:after="0" w:line="240" w:lineRule="auto"/>
        <w:jc w:val="both"/>
        <w:rPr>
          <w:rFonts w:cs="Calibri"/>
        </w:rPr>
      </w:pPr>
    </w:p>
    <w:p w14:paraId="72DAA3AB" w14:textId="77777777" w:rsidR="00FE7883" w:rsidRPr="00E74967" w:rsidRDefault="00FE7883"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538C4F2B" w:rsidR="007D1E76" w:rsidRDefault="008318A9" w:rsidP="00CB41C4">
      <w:pPr>
        <w:tabs>
          <w:tab w:val="left" w:leader="underscore" w:pos="9639"/>
        </w:tabs>
        <w:spacing w:after="0" w:line="240" w:lineRule="auto"/>
        <w:jc w:val="both"/>
        <w:rPr>
          <w:rFonts w:cs="Calibri"/>
        </w:rPr>
      </w:pPr>
      <w:r w:rsidRPr="008318A9">
        <w:rPr>
          <w:rFonts w:cs="Calibri"/>
        </w:rPr>
        <w:lastRenderedPageBreak/>
        <w:t>Los estados financieros se actualizaron de acuerdo a lo establecido por el CONAC</w:t>
      </w:r>
      <w:r>
        <w:rPr>
          <w:rFonts w:cs="Calibri"/>
        </w:rPr>
        <w:t>.</w:t>
      </w:r>
    </w:p>
    <w:p w14:paraId="70B9AFC6" w14:textId="77777777" w:rsidR="008318A9" w:rsidRPr="00E74967" w:rsidRDefault="008318A9"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3814396A" w:rsidR="007D1E76" w:rsidRPr="00E74967" w:rsidRDefault="008318A9" w:rsidP="00CB41C4">
      <w:pPr>
        <w:tabs>
          <w:tab w:val="left" w:leader="underscore" w:pos="9639"/>
        </w:tabs>
        <w:spacing w:after="0" w:line="240" w:lineRule="auto"/>
        <w:jc w:val="both"/>
        <w:rPr>
          <w:rFonts w:cs="Calibri"/>
        </w:rPr>
      </w:pPr>
      <w:r>
        <w:rPr>
          <w:rFonts w:cs="Calibri"/>
        </w:rPr>
        <w:t>No se cuenta con operaciones en el extranjero durante este trimestre.</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0849E98A" w:rsidR="007D1E76" w:rsidRPr="00E74967" w:rsidRDefault="008318A9" w:rsidP="00CB41C4">
      <w:pPr>
        <w:tabs>
          <w:tab w:val="left" w:leader="underscore" w:pos="9639"/>
        </w:tabs>
        <w:spacing w:after="0" w:line="240" w:lineRule="auto"/>
        <w:jc w:val="both"/>
        <w:rPr>
          <w:rFonts w:cs="Calibri"/>
        </w:rPr>
      </w:pPr>
      <w:r>
        <w:rPr>
          <w:rFonts w:cs="Calibri"/>
        </w:rPr>
        <w:t>No Aplica</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0B4C5DA9" w:rsidR="007D1E76" w:rsidRPr="00E74967" w:rsidRDefault="008318A9" w:rsidP="00CB41C4">
      <w:pPr>
        <w:tabs>
          <w:tab w:val="left" w:leader="underscore" w:pos="9639"/>
        </w:tabs>
        <w:spacing w:after="0" w:line="240" w:lineRule="auto"/>
        <w:jc w:val="both"/>
        <w:rPr>
          <w:rFonts w:cs="Calibri"/>
        </w:rPr>
      </w:pPr>
      <w:r>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04F088D" w14:textId="77777777" w:rsidR="008318A9" w:rsidRDefault="008318A9" w:rsidP="008318A9">
      <w:pPr>
        <w:spacing w:after="0" w:line="240" w:lineRule="auto"/>
        <w:contextualSpacing/>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Gratificación Anual</w:t>
      </w:r>
    </w:p>
    <w:p w14:paraId="0307EED4" w14:textId="77777777" w:rsidR="008318A9" w:rsidRDefault="008318A9" w:rsidP="008318A9">
      <w:pPr>
        <w:spacing w:after="0" w:line="240" w:lineRule="auto"/>
        <w:contextualSpacing/>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Arcón</w:t>
      </w:r>
    </w:p>
    <w:p w14:paraId="6261FA2E" w14:textId="77777777" w:rsidR="008318A9" w:rsidRDefault="008318A9" w:rsidP="008318A9">
      <w:pPr>
        <w:spacing w:after="0" w:line="240" w:lineRule="auto"/>
        <w:contextualSpacing/>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Prima Vacacional</w:t>
      </w:r>
    </w:p>
    <w:p w14:paraId="63C79545" w14:textId="77777777" w:rsidR="008318A9" w:rsidRDefault="008318A9" w:rsidP="008318A9">
      <w:pPr>
        <w:spacing w:after="0" w:line="240" w:lineRule="auto"/>
        <w:contextualSpacing/>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Vales de despensa</w:t>
      </w:r>
    </w:p>
    <w:p w14:paraId="7AB671BF" w14:textId="77777777" w:rsidR="008318A9" w:rsidRDefault="008318A9" w:rsidP="008318A9">
      <w:pPr>
        <w:spacing w:after="0" w:line="240" w:lineRule="auto"/>
        <w:contextualSpacing/>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Premio por asistencia y puntualidad</w:t>
      </w:r>
    </w:p>
    <w:p w14:paraId="4436ABFD" w14:textId="77777777" w:rsidR="008318A9" w:rsidRDefault="008318A9" w:rsidP="008318A9">
      <w:pPr>
        <w:spacing w:after="0" w:line="240" w:lineRule="auto"/>
        <w:contextualSpacing/>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INFONAVIT</w:t>
      </w:r>
    </w:p>
    <w:p w14:paraId="0070EFA4" w14:textId="77777777" w:rsidR="008318A9" w:rsidRPr="000B537F" w:rsidRDefault="008318A9" w:rsidP="008318A9">
      <w:pPr>
        <w:spacing w:after="0" w:line="240" w:lineRule="auto"/>
        <w:contextualSpacing/>
        <w:jc w:val="both"/>
        <w:rPr>
          <w:rFonts w:asciiTheme="minorHAnsi" w:eastAsia="Times New Roman" w:hAnsiTheme="minorHAnsi" w:cs="Arial"/>
          <w:color w:val="000000"/>
          <w:sz w:val="20"/>
          <w:szCs w:val="20"/>
          <w:lang w:eastAsia="es-MX"/>
        </w:rPr>
      </w:pPr>
      <w:r>
        <w:rPr>
          <w:rFonts w:asciiTheme="minorHAnsi" w:eastAsia="Times New Roman" w:hAnsiTheme="minorHAnsi" w:cs="Arial"/>
          <w:color w:val="000000"/>
          <w:sz w:val="20"/>
          <w:szCs w:val="20"/>
          <w:lang w:eastAsia="es-MX"/>
        </w:rPr>
        <w:t>* IMSS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099CAE8D" w:rsidR="007D1E76" w:rsidRPr="00E74967" w:rsidRDefault="008318A9" w:rsidP="00CB41C4">
      <w:pPr>
        <w:tabs>
          <w:tab w:val="left" w:leader="underscore" w:pos="9639"/>
        </w:tabs>
        <w:spacing w:after="0" w:line="240" w:lineRule="auto"/>
        <w:jc w:val="both"/>
        <w:rPr>
          <w:rFonts w:cs="Calibri"/>
        </w:rPr>
      </w:pPr>
      <w:r>
        <w:rPr>
          <w:rFonts w:cs="Calibri"/>
        </w:rPr>
        <w:t>No Aplica</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53161244" w:rsidR="007D1E76" w:rsidRPr="00E74967" w:rsidRDefault="008318A9" w:rsidP="00CB41C4">
      <w:pPr>
        <w:tabs>
          <w:tab w:val="left" w:leader="underscore" w:pos="9639"/>
        </w:tabs>
        <w:spacing w:after="0" w:line="240" w:lineRule="auto"/>
        <w:jc w:val="both"/>
        <w:rPr>
          <w:rFonts w:cs="Calibri"/>
        </w:rPr>
      </w:pPr>
      <w:r>
        <w:rPr>
          <w:rFonts w:cs="Calibri"/>
        </w:rPr>
        <w:t>No Aplica</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57839461" w:rsidR="007D1E76" w:rsidRPr="00E74967" w:rsidRDefault="008318A9" w:rsidP="00CB41C4">
      <w:pPr>
        <w:tabs>
          <w:tab w:val="left" w:leader="underscore" w:pos="9639"/>
        </w:tabs>
        <w:spacing w:after="0" w:line="240" w:lineRule="auto"/>
        <w:jc w:val="both"/>
        <w:rPr>
          <w:rFonts w:cs="Calibri"/>
        </w:rPr>
      </w:pPr>
      <w:r>
        <w:rPr>
          <w:rFonts w:cs="Calibri"/>
        </w:rPr>
        <w:t>No Aplica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24FD90A" w14:textId="77777777" w:rsidR="008318A9" w:rsidRPr="000B537F" w:rsidRDefault="008318A9" w:rsidP="008318A9">
      <w:pPr>
        <w:tabs>
          <w:tab w:val="left" w:leader="underscore" w:pos="9639"/>
        </w:tabs>
        <w:spacing w:after="0" w:line="240" w:lineRule="auto"/>
        <w:contextualSpacing/>
        <w:jc w:val="both"/>
        <w:rPr>
          <w:rFonts w:asciiTheme="minorHAnsi" w:eastAsia="Times New Roman" w:hAnsiTheme="minorHAnsi" w:cs="Arial"/>
          <w:color w:val="000000"/>
          <w:sz w:val="20"/>
          <w:szCs w:val="20"/>
          <w:lang w:eastAsia="es-MX"/>
        </w:rPr>
      </w:pPr>
      <w:r w:rsidRPr="000B537F">
        <w:rPr>
          <w:rFonts w:asciiTheme="minorHAnsi" w:eastAsia="Times New Roman" w:hAnsiTheme="minorHAnsi" w:cs="Arial"/>
          <w:color w:val="000000"/>
          <w:sz w:val="20"/>
          <w:szCs w:val="20"/>
          <w:lang w:eastAsia="es-MX"/>
        </w:rPr>
        <w:t>APLICACIÓN DE DISPOSICIONES EMITIDAS POR EL CONAC</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660EC3A" w14:textId="77777777" w:rsidR="008318A9" w:rsidRDefault="008318A9" w:rsidP="008318A9">
      <w:pPr>
        <w:rPr>
          <w:rFonts w:cs="Calibri"/>
        </w:rPr>
      </w:pPr>
      <w:r w:rsidRPr="008318A9">
        <w:rPr>
          <w:rFonts w:cs="Calibri"/>
        </w:rPr>
        <w:t>Durante el periodo reportado no se cancelaron o depuraron cuentas</w:t>
      </w:r>
    </w:p>
    <w:p w14:paraId="243EA951" w14:textId="12F2584D" w:rsidR="00A26ACE" w:rsidRPr="008318A9" w:rsidRDefault="00A26ACE" w:rsidP="008318A9">
      <w:pPr>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1C11AC72" w14:textId="77777777" w:rsidR="00FE7883" w:rsidRPr="00E74967" w:rsidRDefault="00FE788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0EE0BF51" w:rsidR="007D1E76" w:rsidRDefault="008318A9" w:rsidP="00CB41C4">
      <w:pPr>
        <w:tabs>
          <w:tab w:val="left" w:leader="underscore" w:pos="9639"/>
        </w:tabs>
        <w:spacing w:after="0" w:line="240" w:lineRule="auto"/>
        <w:jc w:val="both"/>
        <w:rPr>
          <w:rFonts w:cs="Calibri"/>
        </w:rPr>
      </w:pPr>
      <w:r>
        <w:rPr>
          <w:rFonts w:cs="Calibri"/>
        </w:rPr>
        <w:t>No Aplica</w:t>
      </w:r>
    </w:p>
    <w:p w14:paraId="3F1EC857" w14:textId="77777777" w:rsidR="008318A9" w:rsidRPr="00E74967" w:rsidRDefault="008318A9"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E2D7089" w:rsidR="007D1E76" w:rsidRPr="00E74967" w:rsidRDefault="008318A9"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444BA934" w:rsidR="007D1E76" w:rsidRPr="00E74967" w:rsidRDefault="008318A9" w:rsidP="00CB41C4">
      <w:pPr>
        <w:tabs>
          <w:tab w:val="left" w:leader="underscore" w:pos="9639"/>
        </w:tabs>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CFA5200" w:rsidR="007D1E76" w:rsidRPr="00E74967" w:rsidRDefault="008318A9" w:rsidP="00CB41C4">
      <w:pPr>
        <w:tabs>
          <w:tab w:val="left" w:leader="underscore" w:pos="9639"/>
        </w:tabs>
        <w:spacing w:after="0" w:line="240" w:lineRule="auto"/>
        <w:jc w:val="both"/>
        <w:rPr>
          <w:rFonts w:cs="Calibri"/>
        </w:rPr>
      </w:pPr>
      <w:r>
        <w:rPr>
          <w:rFonts w:cs="Calibri"/>
        </w:rPr>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000CC8D0" w:rsidR="007D1E76" w:rsidRPr="00E74967" w:rsidRDefault="008318A9" w:rsidP="00CB41C4">
      <w:pPr>
        <w:tabs>
          <w:tab w:val="left" w:leader="underscore" w:pos="9639"/>
        </w:tabs>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9023265" w14:textId="77777777" w:rsidR="00A26ACE" w:rsidRDefault="00A26ACE" w:rsidP="00CB41C4">
      <w:pPr>
        <w:tabs>
          <w:tab w:val="left" w:leader="underscore" w:pos="9639"/>
        </w:tabs>
        <w:spacing w:after="0" w:line="240" w:lineRule="auto"/>
        <w:jc w:val="both"/>
        <w:rPr>
          <w:rFonts w:cs="Calibri"/>
        </w:rPr>
      </w:pPr>
    </w:p>
    <w:p w14:paraId="02D6E4CF" w14:textId="09149BF7" w:rsidR="00A26ACE" w:rsidRPr="00E74967"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8318A9" w:rsidRPr="00CD06C4" w14:paraId="1D1F0E3E" w14:textId="77777777" w:rsidTr="008A498E">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7767259C" w14:textId="77777777" w:rsidR="008318A9" w:rsidRPr="00425F82" w:rsidRDefault="008318A9" w:rsidP="008A498E">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4B1ACBBB" w14:textId="77777777" w:rsidR="008318A9" w:rsidRPr="00425F82" w:rsidRDefault="008318A9" w:rsidP="008A498E">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5E069ABA" w14:textId="77777777" w:rsidR="008318A9" w:rsidRPr="00425F82" w:rsidRDefault="008318A9" w:rsidP="008A498E">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3E6AAA96" w14:textId="77777777" w:rsidR="008318A9" w:rsidRPr="00425F82" w:rsidRDefault="008318A9" w:rsidP="008A498E">
            <w:pPr>
              <w:pStyle w:val="Texto"/>
              <w:spacing w:line="240" w:lineRule="exact"/>
              <w:ind w:firstLine="0"/>
              <w:jc w:val="center"/>
              <w:rPr>
                <w:b/>
                <w:color w:val="000000"/>
                <w:lang w:val="es-MX"/>
              </w:rPr>
            </w:pPr>
            <w:r w:rsidRPr="00425F82">
              <w:rPr>
                <w:b/>
                <w:color w:val="000000"/>
                <w:lang w:val="es-MX"/>
              </w:rPr>
              <w:t>% de depreciación anual</w:t>
            </w:r>
          </w:p>
        </w:tc>
      </w:tr>
      <w:tr w:rsidR="008318A9" w:rsidRPr="00CD06C4" w14:paraId="31183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721A84" w14:textId="77777777" w:rsidR="008318A9" w:rsidRPr="00425F82" w:rsidRDefault="008318A9" w:rsidP="008A498E">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73702A6B" w14:textId="77777777" w:rsidR="008318A9" w:rsidRPr="00425F82" w:rsidRDefault="008318A9" w:rsidP="008A498E">
            <w:pPr>
              <w:pStyle w:val="Texto"/>
              <w:spacing w:line="240" w:lineRule="exact"/>
              <w:ind w:firstLine="0"/>
              <w:rPr>
                <w:color w:val="000000"/>
                <w:lang w:val="es-MX"/>
              </w:rPr>
            </w:pPr>
            <w:r w:rsidRPr="00425F82">
              <w:rPr>
                <w:b/>
                <w:color w:val="000000"/>
                <w:lang w:val="es-MX"/>
              </w:rPr>
              <w:t>BIENES INMUEBLES, INFRAESTRUCTURA Y CONSTRUCCIONES EN PROCESO</w:t>
            </w:r>
          </w:p>
        </w:tc>
      </w:tr>
      <w:tr w:rsidR="008318A9" w:rsidRPr="00CD06C4" w14:paraId="40CB95B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F6E13F" w14:textId="77777777" w:rsidR="008318A9" w:rsidRPr="00425F82" w:rsidRDefault="008318A9" w:rsidP="008A498E">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14:paraId="5F2BD3CD" w14:textId="77777777" w:rsidR="008318A9" w:rsidRPr="00425F82" w:rsidRDefault="008318A9" w:rsidP="008A498E">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14:paraId="2F6935DE"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14:paraId="724449AE"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2</w:t>
            </w:r>
          </w:p>
        </w:tc>
      </w:tr>
      <w:tr w:rsidR="008318A9" w:rsidRPr="00CD06C4" w14:paraId="381155E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D3B70E9" w14:textId="77777777" w:rsidR="008318A9" w:rsidRPr="00425F82" w:rsidRDefault="008318A9" w:rsidP="008A498E">
            <w:pPr>
              <w:pStyle w:val="Texto"/>
              <w:spacing w:line="240" w:lineRule="exact"/>
              <w:ind w:firstLine="0"/>
              <w:rPr>
                <w:color w:val="000000"/>
                <w:lang w:val="es-MX"/>
              </w:rPr>
            </w:pPr>
            <w:r w:rsidRPr="00425F82">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14:paraId="4C6775E8" w14:textId="77777777" w:rsidR="008318A9" w:rsidRPr="00425F82" w:rsidRDefault="008318A9" w:rsidP="008A498E">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14:paraId="38232843"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14:paraId="37CC6A28"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3.3</w:t>
            </w:r>
          </w:p>
        </w:tc>
      </w:tr>
      <w:tr w:rsidR="008318A9" w:rsidRPr="00CD06C4" w14:paraId="1764B49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1847F2" w14:textId="77777777" w:rsidR="008318A9" w:rsidRPr="00425F82" w:rsidRDefault="008318A9" w:rsidP="008A498E">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14:paraId="1A8CD307" w14:textId="77777777" w:rsidR="008318A9" w:rsidRPr="00425F82" w:rsidRDefault="008318A9" w:rsidP="008A498E">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14:paraId="27886B4B"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14:paraId="3788D51E"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4</w:t>
            </w:r>
          </w:p>
        </w:tc>
      </w:tr>
      <w:tr w:rsidR="008318A9" w:rsidRPr="00CD06C4" w14:paraId="35E8AC6F"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D700242" w14:textId="77777777" w:rsidR="008318A9" w:rsidRPr="00425F82" w:rsidRDefault="008318A9" w:rsidP="008A498E">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14:paraId="1D1360D1" w14:textId="77777777" w:rsidR="008318A9" w:rsidRPr="00425F82" w:rsidRDefault="008318A9" w:rsidP="008A498E">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0B75E64E"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4510F08A"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5</w:t>
            </w:r>
          </w:p>
        </w:tc>
      </w:tr>
      <w:tr w:rsidR="008318A9" w:rsidRPr="00CD06C4" w14:paraId="42CB2137"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A2BF10C" w14:textId="77777777" w:rsidR="008318A9" w:rsidRPr="00425F82" w:rsidRDefault="008318A9" w:rsidP="008A498E">
            <w:pPr>
              <w:pStyle w:val="Texto"/>
              <w:spacing w:line="240" w:lineRule="exact"/>
              <w:ind w:firstLine="0"/>
              <w:rPr>
                <w:color w:val="000000"/>
                <w:szCs w:val="16"/>
                <w:lang w:val="es-MX"/>
              </w:rPr>
            </w:pPr>
          </w:p>
        </w:tc>
      </w:tr>
      <w:tr w:rsidR="008318A9" w:rsidRPr="00CD06C4" w14:paraId="63A2E2E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C61C3E" w14:textId="77777777" w:rsidR="008318A9" w:rsidRPr="00425F82" w:rsidRDefault="008318A9" w:rsidP="008A498E">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1C362129" w14:textId="77777777" w:rsidR="008318A9" w:rsidRPr="00425F82" w:rsidRDefault="008318A9" w:rsidP="008A498E">
            <w:pPr>
              <w:pStyle w:val="Texto"/>
              <w:spacing w:line="240" w:lineRule="exact"/>
              <w:ind w:firstLine="0"/>
              <w:rPr>
                <w:color w:val="000000"/>
                <w:lang w:val="es-MX"/>
              </w:rPr>
            </w:pPr>
            <w:r w:rsidRPr="00425F82">
              <w:rPr>
                <w:b/>
                <w:color w:val="000000"/>
                <w:lang w:val="es-MX"/>
              </w:rPr>
              <w:t>BIENES MUEBLES</w:t>
            </w:r>
          </w:p>
        </w:tc>
      </w:tr>
      <w:tr w:rsidR="008318A9" w:rsidRPr="00CD06C4" w14:paraId="623963C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E8B7C6" w14:textId="77777777" w:rsidR="008318A9" w:rsidRPr="00425F82" w:rsidRDefault="008318A9" w:rsidP="008A498E">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4CDF15AC" w14:textId="77777777" w:rsidR="008318A9" w:rsidRPr="00425F82" w:rsidRDefault="008318A9" w:rsidP="008A498E">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254F534F" w14:textId="77777777" w:rsidR="008318A9" w:rsidRPr="00425F82" w:rsidRDefault="008318A9" w:rsidP="008A498E">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6F3BBFC9" w14:textId="77777777" w:rsidR="008318A9" w:rsidRPr="00425F82" w:rsidRDefault="008318A9" w:rsidP="008A498E">
            <w:pPr>
              <w:pStyle w:val="Texto"/>
              <w:spacing w:line="240" w:lineRule="exact"/>
              <w:ind w:firstLine="0"/>
              <w:jc w:val="center"/>
              <w:rPr>
                <w:color w:val="000000"/>
                <w:lang w:val="es-MX"/>
              </w:rPr>
            </w:pPr>
          </w:p>
        </w:tc>
      </w:tr>
      <w:tr w:rsidR="008318A9" w:rsidRPr="00CD06C4" w14:paraId="386C1B2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B68AF6" w14:textId="77777777" w:rsidR="008318A9" w:rsidRPr="00425F82" w:rsidRDefault="008318A9" w:rsidP="008A498E">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14:paraId="4BFDD0E4" w14:textId="77777777" w:rsidR="008318A9" w:rsidRPr="00425F82" w:rsidRDefault="008318A9" w:rsidP="008A498E">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63438647"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0834EA0"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10</w:t>
            </w:r>
          </w:p>
        </w:tc>
      </w:tr>
      <w:tr w:rsidR="008318A9" w:rsidRPr="00CD06C4" w14:paraId="461A733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99403" w14:textId="77777777" w:rsidR="008318A9" w:rsidRPr="00425F82" w:rsidRDefault="008318A9" w:rsidP="008A498E">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558FF475" w14:textId="77777777" w:rsidR="008318A9" w:rsidRPr="00425F82" w:rsidRDefault="008318A9" w:rsidP="008A498E">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0EA1FD48"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77E5F49"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10</w:t>
            </w:r>
          </w:p>
        </w:tc>
      </w:tr>
      <w:tr w:rsidR="008318A9" w:rsidRPr="00CD06C4" w14:paraId="3353F2B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FC232C8" w14:textId="77777777" w:rsidR="008318A9" w:rsidRPr="00425F82" w:rsidRDefault="008318A9" w:rsidP="008A498E">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582318E4" w14:textId="77777777" w:rsidR="008318A9" w:rsidRPr="00425F82" w:rsidRDefault="008318A9" w:rsidP="008A498E">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14:paraId="557ED4F1"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DBC13E3"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33.3</w:t>
            </w:r>
          </w:p>
        </w:tc>
      </w:tr>
      <w:tr w:rsidR="008318A9" w:rsidRPr="00CD06C4" w14:paraId="38861EE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69304B6" w14:textId="77777777" w:rsidR="008318A9" w:rsidRPr="00425F82" w:rsidRDefault="008318A9" w:rsidP="008A498E">
            <w:pPr>
              <w:pStyle w:val="Texto"/>
              <w:spacing w:line="240" w:lineRule="exact"/>
              <w:ind w:firstLine="0"/>
              <w:rPr>
                <w:color w:val="000000"/>
                <w:lang w:val="es-MX"/>
              </w:rPr>
            </w:pPr>
            <w:r w:rsidRPr="00425F82">
              <w:rPr>
                <w:color w:val="000000"/>
                <w:lang w:val="es-MX"/>
              </w:rPr>
              <w:lastRenderedPageBreak/>
              <w:t>1.2.4.1.9</w:t>
            </w:r>
          </w:p>
        </w:tc>
        <w:tc>
          <w:tcPr>
            <w:tcW w:w="5565" w:type="dxa"/>
            <w:tcBorders>
              <w:top w:val="single" w:sz="6" w:space="0" w:color="auto"/>
              <w:left w:val="single" w:sz="6" w:space="0" w:color="auto"/>
              <w:bottom w:val="single" w:sz="6" w:space="0" w:color="auto"/>
              <w:right w:val="single" w:sz="6" w:space="0" w:color="auto"/>
            </w:tcBorders>
            <w:vAlign w:val="center"/>
          </w:tcPr>
          <w:p w14:paraId="412896BB" w14:textId="77777777" w:rsidR="008318A9" w:rsidRPr="00425F82" w:rsidRDefault="008318A9" w:rsidP="008A498E">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4D2B4AE4"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0E4E732"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10</w:t>
            </w:r>
          </w:p>
        </w:tc>
      </w:tr>
      <w:tr w:rsidR="008318A9" w:rsidRPr="00CD06C4" w14:paraId="654950E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5BCD60" w14:textId="77777777" w:rsidR="008318A9" w:rsidRPr="00425F82" w:rsidRDefault="008318A9" w:rsidP="008A498E">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38E2865C" w14:textId="77777777" w:rsidR="008318A9" w:rsidRPr="00425F82" w:rsidRDefault="008318A9" w:rsidP="008A498E">
            <w:pPr>
              <w:pStyle w:val="Texto"/>
              <w:spacing w:line="240" w:lineRule="exact"/>
              <w:ind w:firstLine="0"/>
              <w:rPr>
                <w:color w:val="000000"/>
                <w:lang w:val="es-MX"/>
              </w:rPr>
            </w:pPr>
            <w:r w:rsidRPr="00425F82">
              <w:rPr>
                <w:b/>
                <w:color w:val="000000"/>
                <w:lang w:val="es-MX"/>
              </w:rPr>
              <w:t>Mobiliario y Equipo Educacional y Recreativo</w:t>
            </w:r>
          </w:p>
        </w:tc>
      </w:tr>
      <w:tr w:rsidR="008318A9" w:rsidRPr="00CD06C4" w14:paraId="4E7415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8B0E9A8" w14:textId="77777777" w:rsidR="008318A9" w:rsidRPr="00425F82" w:rsidRDefault="008318A9" w:rsidP="008A498E">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14:paraId="4600C007" w14:textId="77777777" w:rsidR="008318A9" w:rsidRPr="00425F82" w:rsidRDefault="008318A9" w:rsidP="008A498E">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25D398E6"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419D668D"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33.3</w:t>
            </w:r>
          </w:p>
        </w:tc>
      </w:tr>
      <w:tr w:rsidR="008318A9" w:rsidRPr="00CD06C4" w14:paraId="609F7B4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669A704" w14:textId="77777777" w:rsidR="008318A9" w:rsidRPr="00425F82" w:rsidRDefault="008318A9" w:rsidP="008A498E">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2E39244A" w14:textId="77777777" w:rsidR="008318A9" w:rsidRPr="00425F82" w:rsidRDefault="008318A9" w:rsidP="008A498E">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6131EA92"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300CC03"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20</w:t>
            </w:r>
          </w:p>
        </w:tc>
      </w:tr>
      <w:tr w:rsidR="008318A9" w:rsidRPr="00CD06C4" w14:paraId="6BA0E96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498472" w14:textId="77777777" w:rsidR="008318A9" w:rsidRPr="00425F82" w:rsidRDefault="008318A9" w:rsidP="008A498E">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5C6AFCF4" w14:textId="77777777" w:rsidR="008318A9" w:rsidRPr="00425F82" w:rsidRDefault="008318A9" w:rsidP="008A498E">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0F76F9EE"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625ED868"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33.3</w:t>
            </w:r>
          </w:p>
        </w:tc>
      </w:tr>
      <w:tr w:rsidR="008318A9" w:rsidRPr="00CD06C4" w14:paraId="48AC0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7278D55" w14:textId="77777777" w:rsidR="008318A9" w:rsidRPr="00425F82" w:rsidRDefault="008318A9" w:rsidP="008A498E">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6365B93D" w14:textId="77777777" w:rsidR="008318A9" w:rsidRPr="00425F82" w:rsidRDefault="008318A9" w:rsidP="008A498E">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50803E50"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2E36524"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20</w:t>
            </w:r>
          </w:p>
        </w:tc>
      </w:tr>
      <w:tr w:rsidR="008318A9" w:rsidRPr="00CD06C4" w14:paraId="3661FA6B"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0B898939" w14:textId="77777777" w:rsidR="008318A9" w:rsidRPr="00425F82" w:rsidRDefault="008318A9" w:rsidP="008A498E">
            <w:pPr>
              <w:pStyle w:val="Texto"/>
              <w:spacing w:line="240" w:lineRule="exact"/>
              <w:ind w:firstLine="0"/>
              <w:rPr>
                <w:color w:val="000000"/>
                <w:szCs w:val="16"/>
                <w:lang w:val="es-MX"/>
              </w:rPr>
            </w:pPr>
          </w:p>
        </w:tc>
      </w:tr>
      <w:tr w:rsidR="008318A9" w:rsidRPr="00CD06C4" w14:paraId="4A705BC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7D0A2E0" w14:textId="77777777" w:rsidR="008318A9" w:rsidRPr="00425F82" w:rsidRDefault="008318A9" w:rsidP="008A498E">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055A91" w14:textId="77777777" w:rsidR="008318A9" w:rsidRPr="00425F82" w:rsidRDefault="008318A9" w:rsidP="008A498E">
            <w:pPr>
              <w:pStyle w:val="Texto"/>
              <w:spacing w:line="240" w:lineRule="exact"/>
              <w:ind w:firstLine="0"/>
              <w:rPr>
                <w:color w:val="000000"/>
                <w:lang w:val="es-MX"/>
              </w:rPr>
            </w:pPr>
            <w:r w:rsidRPr="00425F82">
              <w:rPr>
                <w:b/>
                <w:color w:val="000000"/>
                <w:lang w:val="es-MX"/>
              </w:rPr>
              <w:t>Equipo e Instrumental Médico y de Laboratorio</w:t>
            </w:r>
          </w:p>
        </w:tc>
      </w:tr>
      <w:tr w:rsidR="008318A9" w:rsidRPr="00CD06C4" w14:paraId="7E4066B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7E62E5" w14:textId="77777777" w:rsidR="008318A9" w:rsidRPr="00425F82" w:rsidRDefault="008318A9" w:rsidP="008A498E">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14:paraId="32A4D777" w14:textId="77777777" w:rsidR="008318A9" w:rsidRPr="00425F82" w:rsidRDefault="008318A9" w:rsidP="008A498E">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78EAB5C3"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F4BE942"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20</w:t>
            </w:r>
          </w:p>
        </w:tc>
      </w:tr>
      <w:tr w:rsidR="008318A9" w:rsidRPr="00CD06C4" w14:paraId="7DF5240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7B136E0" w14:textId="77777777" w:rsidR="008318A9" w:rsidRPr="00425F82" w:rsidRDefault="008318A9" w:rsidP="008A498E">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3492F270" w14:textId="77777777" w:rsidR="008318A9" w:rsidRPr="00425F82" w:rsidRDefault="008318A9" w:rsidP="008A498E">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046B7BF9"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A7FA54C"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20</w:t>
            </w:r>
          </w:p>
        </w:tc>
      </w:tr>
      <w:tr w:rsidR="008318A9" w:rsidRPr="00CD06C4" w14:paraId="45326D71"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074356D" w14:textId="77777777" w:rsidR="008318A9" w:rsidRPr="00425F82" w:rsidRDefault="008318A9" w:rsidP="008A498E">
            <w:pPr>
              <w:pStyle w:val="Texto"/>
              <w:spacing w:line="240" w:lineRule="exact"/>
              <w:ind w:firstLine="0"/>
              <w:rPr>
                <w:color w:val="000000"/>
                <w:szCs w:val="16"/>
                <w:lang w:val="es-MX"/>
              </w:rPr>
            </w:pPr>
          </w:p>
        </w:tc>
      </w:tr>
      <w:tr w:rsidR="008318A9" w:rsidRPr="00CD06C4" w14:paraId="006465A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9D4F88" w14:textId="77777777" w:rsidR="008318A9" w:rsidRPr="00425F82" w:rsidRDefault="008318A9" w:rsidP="008A498E">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000F92F" w14:textId="77777777" w:rsidR="008318A9" w:rsidRPr="00425F82" w:rsidRDefault="008318A9" w:rsidP="008A498E">
            <w:pPr>
              <w:pStyle w:val="Texto"/>
              <w:spacing w:line="240" w:lineRule="exact"/>
              <w:ind w:firstLine="0"/>
              <w:rPr>
                <w:color w:val="000000"/>
                <w:lang w:val="es-MX"/>
              </w:rPr>
            </w:pPr>
            <w:r w:rsidRPr="00425F82">
              <w:rPr>
                <w:b/>
                <w:color w:val="000000"/>
                <w:lang w:val="es-MX"/>
              </w:rPr>
              <w:t>Equipo de Transporte</w:t>
            </w:r>
          </w:p>
        </w:tc>
      </w:tr>
      <w:tr w:rsidR="008318A9" w:rsidRPr="00CD06C4" w14:paraId="0EDD7DF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9D8361" w14:textId="77777777" w:rsidR="008318A9" w:rsidRPr="00425F82" w:rsidRDefault="008318A9" w:rsidP="008A498E">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03C5D871" w14:textId="77777777" w:rsidR="008318A9" w:rsidRPr="00425F82" w:rsidRDefault="008318A9" w:rsidP="008A498E">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580D0B64"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77AD8D8"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20</w:t>
            </w:r>
          </w:p>
        </w:tc>
      </w:tr>
      <w:tr w:rsidR="008318A9" w:rsidRPr="00CD06C4" w14:paraId="4654910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235EF47" w14:textId="77777777" w:rsidR="008318A9" w:rsidRPr="00425F82" w:rsidRDefault="008318A9" w:rsidP="008A498E">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4A295760" w14:textId="77777777" w:rsidR="008318A9" w:rsidRPr="00425F82" w:rsidRDefault="008318A9" w:rsidP="008A498E">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2F09DCE3"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86BB03B" w14:textId="77777777" w:rsidR="008318A9" w:rsidRPr="00425F82" w:rsidRDefault="008318A9" w:rsidP="008A498E">
            <w:pPr>
              <w:pStyle w:val="Texto"/>
              <w:spacing w:line="240" w:lineRule="exact"/>
              <w:ind w:firstLine="0"/>
              <w:jc w:val="center"/>
              <w:rPr>
                <w:color w:val="000000"/>
                <w:lang w:val="es-MX"/>
              </w:rPr>
            </w:pPr>
            <w:r w:rsidRPr="00425F82">
              <w:rPr>
                <w:color w:val="000000"/>
                <w:lang w:val="es-MX"/>
              </w:rPr>
              <w:t>20</w:t>
            </w:r>
          </w:p>
        </w:tc>
      </w:tr>
      <w:tr w:rsidR="008318A9" w:rsidRPr="00CD06C4" w14:paraId="2509F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54C082B" w14:textId="77777777" w:rsidR="008318A9" w:rsidRPr="00425F82" w:rsidRDefault="008318A9" w:rsidP="008A498E">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40E21890" w14:textId="77777777" w:rsidR="008318A9" w:rsidRPr="00425F82" w:rsidRDefault="008318A9" w:rsidP="008A498E">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3CD515F8"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B893C6"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1B7E300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E6C691" w14:textId="77777777" w:rsidR="008318A9" w:rsidRPr="00425F82" w:rsidRDefault="008318A9" w:rsidP="008A498E">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755C6DD5" w14:textId="77777777" w:rsidR="008318A9" w:rsidRPr="00425F82" w:rsidRDefault="008318A9" w:rsidP="008A498E">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75EE7751"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86450D7"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21A43C7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057A46" w14:textId="77777777" w:rsidR="008318A9" w:rsidRPr="00425F82" w:rsidRDefault="008318A9" w:rsidP="008A498E">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1430A154" w14:textId="77777777" w:rsidR="008318A9" w:rsidRPr="00425F82" w:rsidRDefault="008318A9" w:rsidP="008A498E">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28A9DB73"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7548CA4"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4CFD4A4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4B015EB" w14:textId="77777777" w:rsidR="008318A9" w:rsidRPr="00425F82" w:rsidRDefault="008318A9" w:rsidP="008A498E">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14:paraId="6245A1CD" w14:textId="77777777" w:rsidR="008318A9" w:rsidRPr="00425F82" w:rsidRDefault="008318A9" w:rsidP="008A498E">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245D0F9D"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12CC138"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3190926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C1648FA" w14:textId="77777777" w:rsidR="008318A9" w:rsidRPr="00425F82" w:rsidRDefault="008318A9" w:rsidP="008A498E">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6DFA5C7C" w14:textId="77777777" w:rsidR="008318A9" w:rsidRPr="00425F82" w:rsidRDefault="008318A9" w:rsidP="008A498E">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38BAEDB2"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763D87D3"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w:t>
            </w:r>
          </w:p>
        </w:tc>
      </w:tr>
      <w:tr w:rsidR="008318A9" w:rsidRPr="00CD06C4" w14:paraId="3B23E0CA"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124D50DD" w14:textId="77777777" w:rsidR="008318A9" w:rsidRPr="00425F82" w:rsidRDefault="008318A9" w:rsidP="008A498E">
            <w:pPr>
              <w:pStyle w:val="Texto"/>
              <w:spacing w:line="226" w:lineRule="exact"/>
              <w:ind w:firstLine="0"/>
              <w:rPr>
                <w:color w:val="000000"/>
                <w:szCs w:val="16"/>
                <w:lang w:val="es-MX"/>
              </w:rPr>
            </w:pPr>
          </w:p>
        </w:tc>
      </w:tr>
      <w:tr w:rsidR="008318A9" w:rsidRPr="00CD06C4" w14:paraId="1319E9C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A736931" w14:textId="77777777" w:rsidR="008318A9" w:rsidRPr="00425F82" w:rsidRDefault="008318A9" w:rsidP="008A498E">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8976566" w14:textId="77777777" w:rsidR="008318A9" w:rsidRPr="00425F82" w:rsidRDefault="008318A9" w:rsidP="008A498E">
            <w:pPr>
              <w:pStyle w:val="Texto"/>
              <w:spacing w:line="226" w:lineRule="exact"/>
              <w:ind w:firstLine="0"/>
              <w:rPr>
                <w:color w:val="000000"/>
                <w:lang w:val="es-MX"/>
              </w:rPr>
            </w:pPr>
            <w:r w:rsidRPr="00425F82">
              <w:rPr>
                <w:b/>
                <w:color w:val="000000"/>
                <w:lang w:val="es-MX"/>
              </w:rPr>
              <w:t>Maquinaria, Otros Equipos y Herramientas</w:t>
            </w:r>
          </w:p>
        </w:tc>
      </w:tr>
      <w:tr w:rsidR="008318A9" w:rsidRPr="00CD06C4" w14:paraId="432B9CB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42A2419" w14:textId="77777777" w:rsidR="008318A9" w:rsidRPr="00425F82" w:rsidRDefault="008318A9" w:rsidP="008A498E">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14:paraId="3FB7C4C0" w14:textId="77777777" w:rsidR="008318A9" w:rsidRPr="00425F82" w:rsidRDefault="008318A9" w:rsidP="008A498E">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0803C249"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3411768"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r>
      <w:tr w:rsidR="008318A9" w:rsidRPr="00CD06C4" w14:paraId="6FE718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B26F6B5" w14:textId="77777777" w:rsidR="008318A9" w:rsidRPr="00425F82" w:rsidRDefault="008318A9" w:rsidP="008A498E">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14:paraId="20D377BD" w14:textId="77777777" w:rsidR="008318A9" w:rsidRPr="00425F82" w:rsidRDefault="008318A9" w:rsidP="008A498E">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6BA55C68"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1D6FE50"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r>
      <w:tr w:rsidR="008318A9" w:rsidRPr="00CD06C4" w14:paraId="2BC7588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FABA2D6" w14:textId="77777777" w:rsidR="008318A9" w:rsidRPr="00425F82" w:rsidRDefault="008318A9" w:rsidP="008A498E">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46929F84" w14:textId="77777777" w:rsidR="008318A9" w:rsidRPr="00425F82" w:rsidRDefault="008318A9" w:rsidP="008A498E">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14:paraId="01FE7881"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A618F68"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r>
      <w:tr w:rsidR="008318A9" w:rsidRPr="00CD06C4" w14:paraId="7D660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99B47E6" w14:textId="77777777" w:rsidR="008318A9" w:rsidRPr="00425F82" w:rsidRDefault="008318A9" w:rsidP="008A498E">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7521FFC5" w14:textId="77777777" w:rsidR="008318A9" w:rsidRPr="00425F82" w:rsidRDefault="008318A9" w:rsidP="008A498E">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345E11C4"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7DC66F2"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r>
      <w:tr w:rsidR="008318A9" w:rsidRPr="00CD06C4" w14:paraId="233E416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DB8C133" w14:textId="77777777" w:rsidR="008318A9" w:rsidRPr="00425F82" w:rsidRDefault="008318A9" w:rsidP="008A498E">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43D89453" w14:textId="77777777" w:rsidR="008318A9" w:rsidRPr="00425F82" w:rsidRDefault="008318A9" w:rsidP="008A498E">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14:paraId="66BF02FA"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8E20DF5"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r>
      <w:tr w:rsidR="008318A9" w:rsidRPr="00CD06C4" w14:paraId="4FED698C"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EE3C2" w14:textId="77777777" w:rsidR="008318A9" w:rsidRPr="00425F82" w:rsidRDefault="008318A9" w:rsidP="008A498E">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14:paraId="215441D3" w14:textId="77777777" w:rsidR="008318A9" w:rsidRPr="00425F82" w:rsidRDefault="008318A9" w:rsidP="008A498E">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14:paraId="386E05E8"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6FE56F58"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r>
      <w:tr w:rsidR="008318A9" w:rsidRPr="00CD06C4" w14:paraId="6A7E2A1A"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F6ECF5" w14:textId="77777777" w:rsidR="008318A9" w:rsidRPr="00425F82" w:rsidRDefault="008318A9" w:rsidP="008A498E">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58ED6FAF" w14:textId="77777777" w:rsidR="008318A9" w:rsidRPr="00425F82" w:rsidRDefault="008318A9" w:rsidP="008A498E">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27E27001"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4EFB1A0"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r>
      <w:tr w:rsidR="008318A9" w:rsidRPr="00CD06C4" w14:paraId="33F3C04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2225A1" w14:textId="77777777" w:rsidR="008318A9" w:rsidRPr="00425F82" w:rsidRDefault="008318A9" w:rsidP="008A498E">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14:paraId="0A0A4079" w14:textId="77777777" w:rsidR="008318A9" w:rsidRPr="00425F82" w:rsidRDefault="008318A9" w:rsidP="008A498E">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46581129"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B973C5E"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10</w:t>
            </w:r>
          </w:p>
        </w:tc>
      </w:tr>
      <w:tr w:rsidR="008318A9" w:rsidRPr="00CD06C4" w14:paraId="526D8349"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29238336" w14:textId="77777777" w:rsidR="008318A9" w:rsidRPr="00425F82" w:rsidRDefault="008318A9" w:rsidP="008A498E">
            <w:pPr>
              <w:pStyle w:val="Texto"/>
              <w:spacing w:line="226" w:lineRule="exact"/>
              <w:ind w:firstLine="0"/>
              <w:rPr>
                <w:color w:val="000000"/>
                <w:szCs w:val="16"/>
                <w:lang w:val="es-MX"/>
              </w:rPr>
            </w:pPr>
          </w:p>
        </w:tc>
      </w:tr>
      <w:tr w:rsidR="008318A9" w:rsidRPr="00CD06C4" w14:paraId="15C9AFE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526B19" w14:textId="77777777" w:rsidR="008318A9" w:rsidRPr="00425F82" w:rsidRDefault="008318A9" w:rsidP="008A498E">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E38748" w14:textId="77777777" w:rsidR="008318A9" w:rsidRPr="00425F82" w:rsidRDefault="008318A9" w:rsidP="008A498E">
            <w:pPr>
              <w:pStyle w:val="Texto"/>
              <w:spacing w:line="226" w:lineRule="exact"/>
              <w:ind w:firstLine="0"/>
              <w:rPr>
                <w:color w:val="000000"/>
                <w:lang w:val="es-MX"/>
              </w:rPr>
            </w:pPr>
            <w:r w:rsidRPr="00425F82">
              <w:rPr>
                <w:b/>
                <w:color w:val="000000"/>
                <w:lang w:val="es-MX"/>
              </w:rPr>
              <w:t>Activos Biológicos</w:t>
            </w:r>
          </w:p>
        </w:tc>
      </w:tr>
      <w:tr w:rsidR="008318A9" w:rsidRPr="00CD06C4" w14:paraId="28F9C7D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6DBCC1" w14:textId="77777777" w:rsidR="008318A9" w:rsidRPr="00425F82" w:rsidRDefault="008318A9" w:rsidP="008A498E">
            <w:pPr>
              <w:pStyle w:val="Texto"/>
              <w:spacing w:line="226" w:lineRule="exact"/>
              <w:ind w:firstLine="0"/>
              <w:rPr>
                <w:lang w:val="es-MX"/>
              </w:rPr>
            </w:pPr>
            <w:r w:rsidRPr="00425F82">
              <w:rPr>
                <w:lang w:val="es-MX"/>
              </w:rPr>
              <w:lastRenderedPageBreak/>
              <w:t>1.2.4.8.1</w:t>
            </w:r>
          </w:p>
        </w:tc>
        <w:tc>
          <w:tcPr>
            <w:tcW w:w="5565" w:type="dxa"/>
            <w:tcBorders>
              <w:top w:val="single" w:sz="6" w:space="0" w:color="auto"/>
              <w:left w:val="single" w:sz="6" w:space="0" w:color="auto"/>
              <w:bottom w:val="single" w:sz="6" w:space="0" w:color="auto"/>
              <w:right w:val="single" w:sz="6" w:space="0" w:color="auto"/>
            </w:tcBorders>
            <w:vAlign w:val="center"/>
          </w:tcPr>
          <w:p w14:paraId="0DEF2CC8" w14:textId="77777777" w:rsidR="008318A9" w:rsidRPr="00425F82" w:rsidRDefault="008318A9" w:rsidP="008A498E">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2B95A117"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651BE2F"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0F57F7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174A135" w14:textId="77777777" w:rsidR="008318A9" w:rsidRPr="00425F82" w:rsidRDefault="008318A9" w:rsidP="008A498E">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42592BC5" w14:textId="77777777" w:rsidR="008318A9" w:rsidRPr="00425F82" w:rsidRDefault="008318A9" w:rsidP="008A498E">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71F10346"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617850C"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44984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CBEB0AF" w14:textId="77777777" w:rsidR="008318A9" w:rsidRPr="00425F82" w:rsidRDefault="008318A9" w:rsidP="008A498E">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14:paraId="7A8CF27A" w14:textId="77777777" w:rsidR="008318A9" w:rsidRPr="00425F82" w:rsidRDefault="008318A9" w:rsidP="008A498E">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0C3F2869"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DFE01CF"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0CB42A8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2159CFF" w14:textId="77777777" w:rsidR="008318A9" w:rsidRPr="00425F82" w:rsidRDefault="008318A9" w:rsidP="008A498E">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3234A506" w14:textId="77777777" w:rsidR="008318A9" w:rsidRPr="00425F82" w:rsidRDefault="008318A9" w:rsidP="008A498E">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28ABAE79"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D5122E2"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7157B05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6CFF1CD" w14:textId="77777777" w:rsidR="008318A9" w:rsidRPr="00425F82" w:rsidRDefault="008318A9" w:rsidP="008A498E">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227C3C3C" w14:textId="77777777" w:rsidR="008318A9" w:rsidRPr="00425F82" w:rsidRDefault="008318A9" w:rsidP="008A498E">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131F9FE4"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F45BC5A"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7910C10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141BA5" w14:textId="77777777" w:rsidR="008318A9" w:rsidRPr="00425F82" w:rsidRDefault="008318A9" w:rsidP="008A498E">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14:paraId="3A756B79" w14:textId="77777777" w:rsidR="008318A9" w:rsidRPr="00425F82" w:rsidRDefault="008318A9" w:rsidP="008A498E">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45A8D554"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90CBF38"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5A28D4B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2CA02C9" w14:textId="77777777" w:rsidR="008318A9" w:rsidRPr="00425F82" w:rsidRDefault="008318A9" w:rsidP="008A498E">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6AD99961" w14:textId="77777777" w:rsidR="008318A9" w:rsidRPr="00425F82" w:rsidRDefault="008318A9" w:rsidP="008A498E">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14:paraId="38DE1F91"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C6DC4EF"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3D250D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B74A2A1" w14:textId="77777777" w:rsidR="008318A9" w:rsidRPr="00425F82" w:rsidRDefault="008318A9" w:rsidP="008A498E">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748FDEE4" w14:textId="77777777" w:rsidR="008318A9" w:rsidRPr="00425F82" w:rsidRDefault="008318A9" w:rsidP="008A498E">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14:paraId="4E66B9F4"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F8997C"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r w:rsidR="008318A9" w:rsidRPr="00CD06C4" w14:paraId="7B1C5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18B7C32" w14:textId="77777777" w:rsidR="008318A9" w:rsidRPr="00425F82" w:rsidRDefault="008318A9" w:rsidP="008A498E">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6F2860C7" w14:textId="77777777" w:rsidR="008318A9" w:rsidRPr="00425F82" w:rsidRDefault="008318A9" w:rsidP="008A498E">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14:paraId="7B15B198"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A4B0570" w14:textId="77777777" w:rsidR="008318A9" w:rsidRPr="00425F82" w:rsidRDefault="008318A9" w:rsidP="008A498E">
            <w:pPr>
              <w:pStyle w:val="Texto"/>
              <w:spacing w:line="226" w:lineRule="exact"/>
              <w:ind w:firstLine="0"/>
              <w:jc w:val="center"/>
              <w:rPr>
                <w:color w:val="000000"/>
                <w:lang w:val="es-MX"/>
              </w:rPr>
            </w:pPr>
            <w:r w:rsidRPr="00425F82">
              <w:rPr>
                <w:color w:val="000000"/>
                <w:lang w:val="es-MX"/>
              </w:rPr>
              <w:t>20</w:t>
            </w:r>
          </w:p>
        </w:tc>
      </w:tr>
    </w:tbl>
    <w:p w14:paraId="18A5CC0A" w14:textId="65ADC40C" w:rsidR="007D1E76" w:rsidRPr="00E74967" w:rsidRDefault="007D1E76" w:rsidP="00CB41C4">
      <w:pPr>
        <w:tabs>
          <w:tab w:val="left" w:leader="underscore" w:pos="9639"/>
        </w:tabs>
        <w:spacing w:after="0" w:line="240" w:lineRule="auto"/>
        <w:jc w:val="both"/>
        <w:rPr>
          <w:rFonts w:cs="Calibri"/>
        </w:rPr>
      </w:pP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36DF7985" w14:textId="77777777" w:rsidR="008318A9" w:rsidRDefault="008318A9" w:rsidP="008318A9">
      <w:pPr>
        <w:tabs>
          <w:tab w:val="left" w:leader="underscore" w:pos="9639"/>
        </w:tabs>
        <w:spacing w:after="0" w:line="240" w:lineRule="auto"/>
        <w:contextualSpacing/>
        <w:jc w:val="both"/>
        <w:rPr>
          <w:rFonts w:asciiTheme="minorHAnsi" w:hAnsiTheme="minorHAnsi" w:cs="Calibri"/>
          <w:sz w:val="20"/>
          <w:szCs w:val="20"/>
        </w:rPr>
      </w:pPr>
      <w:r>
        <w:rPr>
          <w:rFonts w:asciiTheme="minorHAnsi" w:hAnsiTheme="minorHAnsi" w:cs="Calibri"/>
          <w:sz w:val="20"/>
          <w:szCs w:val="20"/>
        </w:rPr>
        <w:t>No se han realizado</w:t>
      </w:r>
      <w:r w:rsidRPr="000B537F">
        <w:rPr>
          <w:rFonts w:asciiTheme="minorHAnsi" w:hAnsiTheme="minorHAnsi" w:cs="Calibri"/>
          <w:sz w:val="20"/>
          <w:szCs w:val="20"/>
        </w:rPr>
        <w:t xml:space="preserve"> cambios es los porcentajes de depreciación</w:t>
      </w:r>
    </w:p>
    <w:p w14:paraId="4C34334F" w14:textId="77777777" w:rsidR="008318A9" w:rsidRPr="000B537F" w:rsidRDefault="008318A9" w:rsidP="008318A9">
      <w:pPr>
        <w:tabs>
          <w:tab w:val="left" w:leader="underscore" w:pos="9639"/>
        </w:tabs>
        <w:spacing w:after="0" w:line="240" w:lineRule="auto"/>
        <w:contextualSpacing/>
        <w:jc w:val="both"/>
        <w:rPr>
          <w:rFonts w:asciiTheme="minorHAnsi" w:hAnsiTheme="minorHAnsi" w:cs="Calibri"/>
          <w:sz w:val="20"/>
          <w:szCs w:val="20"/>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6A91428" w14:textId="77777777" w:rsidR="008318A9" w:rsidRDefault="008318A9" w:rsidP="008318A9">
      <w:pPr>
        <w:tabs>
          <w:tab w:val="left" w:leader="underscore" w:pos="9639"/>
        </w:tabs>
        <w:spacing w:after="0" w:line="240" w:lineRule="auto"/>
        <w:contextualSpacing/>
        <w:jc w:val="both"/>
        <w:rPr>
          <w:rFonts w:asciiTheme="minorHAnsi" w:hAnsiTheme="minorHAnsi" w:cs="Calibri"/>
          <w:sz w:val="20"/>
          <w:szCs w:val="20"/>
        </w:rPr>
      </w:pPr>
      <w:r>
        <w:rPr>
          <w:rFonts w:asciiTheme="minorHAnsi" w:hAnsiTheme="minorHAnsi" w:cs="Calibri"/>
          <w:sz w:val="20"/>
          <w:szCs w:val="20"/>
        </w:rPr>
        <w:t>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5674B8E" w14:textId="77777777" w:rsidR="008318A9" w:rsidRPr="000B537F"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No se tienen estos tipos de riesgos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D7CB123" w14:textId="77777777" w:rsidR="008318A9" w:rsidRPr="000B537F"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 xml:space="preserve">El Ente no ha construido bienes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7AF244F" w14:textId="77777777" w:rsidR="008318A9" w:rsidRPr="000B537F"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No se tiene algún supuesto descrito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05261EA" w14:textId="77777777" w:rsidR="008318A9" w:rsidRPr="000B537F" w:rsidRDefault="008318A9" w:rsidP="008318A9">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No se ha desmantelado activo</w:t>
      </w:r>
    </w:p>
    <w:p w14:paraId="1382FFB0" w14:textId="77777777" w:rsidR="008318A9" w:rsidRPr="000B537F" w:rsidRDefault="008318A9" w:rsidP="008318A9">
      <w:pPr>
        <w:tabs>
          <w:tab w:val="left" w:leader="underscore" w:pos="9639"/>
        </w:tabs>
        <w:spacing w:after="0" w:line="240" w:lineRule="auto"/>
        <w:contextualSpacing/>
        <w:jc w:val="both"/>
        <w:rPr>
          <w:rFonts w:asciiTheme="minorHAnsi" w:hAnsiTheme="minorHAnsi" w:cs="Calibri"/>
          <w:sz w:val="20"/>
          <w:szCs w:val="20"/>
        </w:rPr>
      </w:pPr>
    </w:p>
    <w:p w14:paraId="46AC9102" w14:textId="2CC1C294"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8201824" w14:textId="77777777" w:rsidR="008318A9" w:rsidRDefault="008318A9" w:rsidP="008318A9">
      <w:pPr>
        <w:tabs>
          <w:tab w:val="left" w:leader="underscore" w:pos="9639"/>
        </w:tabs>
        <w:spacing w:after="0" w:line="240" w:lineRule="auto"/>
        <w:contextualSpacing/>
        <w:jc w:val="both"/>
        <w:rPr>
          <w:rFonts w:asciiTheme="minorHAnsi" w:hAnsiTheme="minorHAnsi" w:cs="Calibri"/>
          <w:sz w:val="20"/>
          <w:szCs w:val="20"/>
        </w:rPr>
      </w:pPr>
      <w:r>
        <w:rPr>
          <w:rFonts w:asciiTheme="minorHAnsi" w:hAnsiTheme="minorHAnsi" w:cs="Calibri"/>
          <w:sz w:val="20"/>
          <w:szCs w:val="20"/>
        </w:rPr>
        <w:t>Durante este periodo no se han realizado cambios en la administración de los activos.</w:t>
      </w:r>
    </w:p>
    <w:p w14:paraId="724ADAF7" w14:textId="77777777" w:rsidR="008318A9" w:rsidRDefault="008318A9" w:rsidP="008318A9">
      <w:pPr>
        <w:tabs>
          <w:tab w:val="left" w:leader="underscore" w:pos="9639"/>
        </w:tabs>
        <w:spacing w:after="0" w:line="240" w:lineRule="auto"/>
        <w:contextualSpacing/>
        <w:jc w:val="both"/>
        <w:rPr>
          <w:rFonts w:asciiTheme="minorHAnsi" w:hAnsiTheme="minorHAnsi" w:cs="Calibri"/>
          <w:sz w:val="20"/>
          <w:szCs w:val="20"/>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D644649" w14:textId="77777777" w:rsidR="00FE7883" w:rsidRPr="000B537F" w:rsidRDefault="00FE7883" w:rsidP="00FE7883">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lastRenderedPageBreak/>
        <w:t>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32598064" w:rsidR="007D1E76" w:rsidRPr="00E74967" w:rsidRDefault="00FE7883" w:rsidP="00CB41C4">
      <w:pPr>
        <w:tabs>
          <w:tab w:val="left" w:leader="underscore" w:pos="9639"/>
        </w:tabs>
        <w:spacing w:after="0" w:line="240" w:lineRule="auto"/>
        <w:jc w:val="both"/>
        <w:rPr>
          <w:rFonts w:cs="Calibri"/>
        </w:rPr>
      </w:pPr>
      <w:r>
        <w:rPr>
          <w:rFonts w:cs="Calibri"/>
        </w:rPr>
        <w:t>No Aplica</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41FEA75" w14:textId="5087F031" w:rsidR="00FE7883" w:rsidRDefault="00FE7883" w:rsidP="00CB41C4">
      <w:pPr>
        <w:tabs>
          <w:tab w:val="left" w:leader="underscore" w:pos="9639"/>
        </w:tabs>
        <w:spacing w:after="0" w:line="240" w:lineRule="auto"/>
        <w:jc w:val="both"/>
        <w:rPr>
          <w:rFonts w:cs="Calibri"/>
        </w:rPr>
      </w:pPr>
      <w:r>
        <w:rPr>
          <w:rFonts w:cs="Calibri"/>
        </w:rPr>
        <w:t>No Aplica</w:t>
      </w:r>
    </w:p>
    <w:p w14:paraId="196A2E35" w14:textId="77777777" w:rsidR="00FE7883" w:rsidRPr="00E74967" w:rsidRDefault="00FE7883"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2E0AD83B" w:rsidR="007D1E76" w:rsidRPr="00E74967" w:rsidRDefault="00FE7883" w:rsidP="00CB41C4">
      <w:pPr>
        <w:tabs>
          <w:tab w:val="left" w:leader="underscore" w:pos="9639"/>
        </w:tabs>
        <w:spacing w:after="0" w:line="240" w:lineRule="auto"/>
        <w:jc w:val="both"/>
        <w:rPr>
          <w:rFonts w:cs="Calibri"/>
        </w:rPr>
      </w:pPr>
      <w:r>
        <w:rPr>
          <w:rFonts w:cs="Calibri"/>
        </w:rPr>
        <w:t>No Aplica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69A12237" w:rsidR="007D1E76" w:rsidRDefault="00FE7883" w:rsidP="00CB41C4">
      <w:pPr>
        <w:tabs>
          <w:tab w:val="left" w:leader="underscore" w:pos="9639"/>
        </w:tabs>
        <w:spacing w:after="0" w:line="240" w:lineRule="auto"/>
        <w:jc w:val="both"/>
        <w:rPr>
          <w:rFonts w:cs="Calibri"/>
        </w:rPr>
      </w:pPr>
      <w:r>
        <w:rPr>
          <w:rFonts w:cs="Calibri"/>
        </w:rPr>
        <w:t>No Aplica</w:t>
      </w:r>
    </w:p>
    <w:p w14:paraId="6BAD3D32" w14:textId="77777777" w:rsidR="00A26ACE" w:rsidRDefault="00A26ACE" w:rsidP="00CB41C4">
      <w:pPr>
        <w:tabs>
          <w:tab w:val="left" w:leader="underscore" w:pos="9639"/>
        </w:tabs>
        <w:spacing w:after="0" w:line="240" w:lineRule="auto"/>
        <w:jc w:val="both"/>
        <w:rPr>
          <w:rFonts w:cs="Calibri"/>
        </w:rPr>
      </w:pPr>
    </w:p>
    <w:p w14:paraId="7A056A1F" w14:textId="3CC523B8" w:rsidR="00A26ACE" w:rsidRPr="00E74967"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56C3B8CD" w14:textId="77777777" w:rsidR="007D1E76"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5BB6FBD5" w:rsidR="007D1E76" w:rsidRDefault="00FE7883" w:rsidP="00CB41C4">
      <w:pPr>
        <w:tabs>
          <w:tab w:val="left" w:leader="underscore" w:pos="9639"/>
        </w:tabs>
        <w:spacing w:after="0" w:line="240" w:lineRule="auto"/>
        <w:jc w:val="both"/>
        <w:rPr>
          <w:rFonts w:cs="Calibri"/>
        </w:rPr>
      </w:pPr>
      <w:r>
        <w:rPr>
          <w:rFonts w:cs="Calibri"/>
        </w:rPr>
        <w:t>No Aplica</w:t>
      </w:r>
    </w:p>
    <w:p w14:paraId="7E461D60" w14:textId="77777777" w:rsidR="00FE7883" w:rsidRPr="00E74967" w:rsidRDefault="00FE7883"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5EB04091" w:rsidR="007D1E76" w:rsidRDefault="00FE7883" w:rsidP="00CB41C4">
      <w:pPr>
        <w:tabs>
          <w:tab w:val="left" w:leader="underscore" w:pos="9639"/>
        </w:tabs>
        <w:spacing w:after="0" w:line="240" w:lineRule="auto"/>
        <w:jc w:val="both"/>
        <w:rPr>
          <w:rFonts w:cs="Calibri"/>
        </w:rPr>
      </w:pPr>
      <w:r>
        <w:rPr>
          <w:rFonts w:cs="Calibri"/>
        </w:rPr>
        <w:t>No Aplica</w:t>
      </w:r>
    </w:p>
    <w:p w14:paraId="55CE95A5" w14:textId="77777777" w:rsidR="00A26ACE" w:rsidRDefault="00A26ACE" w:rsidP="00CB41C4">
      <w:pPr>
        <w:tabs>
          <w:tab w:val="left" w:leader="underscore" w:pos="9639"/>
        </w:tabs>
        <w:spacing w:after="0" w:line="240" w:lineRule="auto"/>
        <w:jc w:val="both"/>
        <w:rPr>
          <w:rFonts w:cs="Calibri"/>
        </w:rPr>
      </w:pPr>
    </w:p>
    <w:p w14:paraId="265BF0F3" w14:textId="303769B4" w:rsidR="00A26ACE" w:rsidRPr="00E74967"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5AE57259" w14:textId="77777777" w:rsidR="007D1E76" w:rsidRDefault="007D1E76" w:rsidP="00CB41C4">
      <w:pPr>
        <w:tabs>
          <w:tab w:val="left" w:leader="underscore" w:pos="9639"/>
        </w:tabs>
        <w:spacing w:after="0" w:line="240" w:lineRule="auto"/>
        <w:jc w:val="both"/>
        <w:rPr>
          <w:rFonts w:cs="Calibri"/>
        </w:rPr>
      </w:pPr>
    </w:p>
    <w:p w14:paraId="012AE73A" w14:textId="77777777" w:rsidR="00FE7883" w:rsidRPr="00E74967" w:rsidRDefault="00FE7883"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3A8F6D4" w14:textId="714634C4" w:rsidR="00FE7883" w:rsidRPr="00FE7883" w:rsidRDefault="00FE7883" w:rsidP="00CB41C4">
      <w:pPr>
        <w:tabs>
          <w:tab w:val="left" w:leader="underscore" w:pos="9639"/>
        </w:tabs>
        <w:spacing w:after="0" w:line="240" w:lineRule="auto"/>
        <w:jc w:val="both"/>
        <w:rPr>
          <w:rFonts w:cs="Calibri"/>
          <w:bCs/>
        </w:rPr>
      </w:pPr>
      <w:r w:rsidRPr="00FE7883">
        <w:rPr>
          <w:rFonts w:cs="Calibri"/>
          <w:bCs/>
        </w:rPr>
        <w:t>No se tuvieron ingresos federales.</w:t>
      </w:r>
    </w:p>
    <w:p w14:paraId="0D7AA6AC" w14:textId="77777777" w:rsidR="00FE7883" w:rsidRPr="000B537F" w:rsidRDefault="00FE7883" w:rsidP="00FE7883">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 xml:space="preserve">En el </w:t>
      </w:r>
      <w:r>
        <w:rPr>
          <w:rFonts w:asciiTheme="minorHAnsi" w:hAnsiTheme="minorHAnsi" w:cs="Calibri"/>
          <w:sz w:val="20"/>
          <w:szCs w:val="20"/>
        </w:rPr>
        <w:t xml:space="preserve">primer </w:t>
      </w:r>
      <w:r w:rsidRPr="000B537F">
        <w:rPr>
          <w:rFonts w:asciiTheme="minorHAnsi" w:hAnsiTheme="minorHAnsi" w:cs="Calibri"/>
          <w:sz w:val="20"/>
          <w:szCs w:val="20"/>
        </w:rPr>
        <w:t>trimestre se reporta la recaudación como sigue:</w:t>
      </w:r>
    </w:p>
    <w:p w14:paraId="188D85D9" w14:textId="77777777" w:rsidR="00FE7883" w:rsidRPr="000B537F" w:rsidRDefault="00FE7883" w:rsidP="00FE7883">
      <w:pPr>
        <w:pStyle w:val="Prrafodelista"/>
        <w:numPr>
          <w:ilvl w:val="0"/>
          <w:numId w:val="5"/>
        </w:numPr>
        <w:tabs>
          <w:tab w:val="left" w:leader="underscore" w:pos="9639"/>
        </w:tabs>
        <w:spacing w:after="0" w:line="240" w:lineRule="auto"/>
        <w:jc w:val="both"/>
        <w:rPr>
          <w:rFonts w:asciiTheme="minorHAnsi" w:hAnsiTheme="minorHAnsi" w:cs="Calibri"/>
          <w:sz w:val="20"/>
          <w:szCs w:val="20"/>
        </w:rPr>
      </w:pPr>
      <w:r w:rsidRPr="000B537F">
        <w:rPr>
          <w:rFonts w:asciiTheme="minorHAnsi" w:hAnsiTheme="minorHAnsi" w:cs="Calibri"/>
          <w:sz w:val="20"/>
          <w:szCs w:val="20"/>
        </w:rPr>
        <w:t xml:space="preserve">RECURSO MUNICIPAL        </w:t>
      </w:r>
      <w:r>
        <w:rPr>
          <w:rFonts w:asciiTheme="minorHAnsi" w:hAnsiTheme="minorHAnsi" w:cs="Calibri"/>
          <w:sz w:val="20"/>
          <w:szCs w:val="20"/>
        </w:rPr>
        <w:t xml:space="preserve">22.79 </w:t>
      </w:r>
      <w:r w:rsidRPr="000B537F">
        <w:rPr>
          <w:rFonts w:asciiTheme="minorHAnsi" w:hAnsiTheme="minorHAnsi" w:cs="Calibri"/>
          <w:sz w:val="20"/>
          <w:szCs w:val="20"/>
        </w:rPr>
        <w:t>%</w:t>
      </w:r>
    </w:p>
    <w:p w14:paraId="08548C9C" w14:textId="77777777" w:rsidR="00FE7883" w:rsidRPr="000B537F" w:rsidRDefault="00FE7883" w:rsidP="00FE7883">
      <w:pPr>
        <w:pStyle w:val="Prrafodelista"/>
        <w:numPr>
          <w:ilvl w:val="0"/>
          <w:numId w:val="5"/>
        </w:numPr>
        <w:tabs>
          <w:tab w:val="left" w:leader="underscore" w:pos="9639"/>
        </w:tabs>
        <w:spacing w:after="0" w:line="240" w:lineRule="auto"/>
        <w:jc w:val="both"/>
        <w:rPr>
          <w:rFonts w:asciiTheme="minorHAnsi" w:hAnsiTheme="minorHAnsi" w:cs="Calibri"/>
          <w:sz w:val="20"/>
          <w:szCs w:val="20"/>
        </w:rPr>
      </w:pPr>
      <w:r w:rsidRPr="000B537F">
        <w:rPr>
          <w:rFonts w:asciiTheme="minorHAnsi" w:hAnsiTheme="minorHAnsi" w:cs="Calibri"/>
          <w:sz w:val="20"/>
          <w:szCs w:val="20"/>
        </w:rPr>
        <w:t xml:space="preserve">RECURSO PROPIO               </w:t>
      </w:r>
      <w:r>
        <w:rPr>
          <w:rFonts w:asciiTheme="minorHAnsi" w:hAnsiTheme="minorHAnsi" w:cs="Calibri"/>
          <w:sz w:val="20"/>
          <w:szCs w:val="20"/>
        </w:rPr>
        <w:t>21.93 %</w:t>
      </w:r>
    </w:p>
    <w:p w14:paraId="2EA2E7AF" w14:textId="77777777" w:rsidR="00FE7883" w:rsidRPr="000B537F" w:rsidRDefault="00FE7883" w:rsidP="00FE7883">
      <w:pPr>
        <w:pStyle w:val="Prrafodelista"/>
        <w:numPr>
          <w:ilvl w:val="0"/>
          <w:numId w:val="5"/>
        </w:numPr>
        <w:tabs>
          <w:tab w:val="left" w:leader="underscore" w:pos="9639"/>
        </w:tabs>
        <w:spacing w:after="0" w:line="240" w:lineRule="auto"/>
        <w:jc w:val="both"/>
        <w:rPr>
          <w:rFonts w:asciiTheme="minorHAnsi" w:hAnsiTheme="minorHAnsi" w:cs="Calibri"/>
          <w:sz w:val="20"/>
          <w:szCs w:val="20"/>
        </w:rPr>
      </w:pPr>
      <w:r w:rsidRPr="000B537F">
        <w:rPr>
          <w:rFonts w:asciiTheme="minorHAnsi" w:hAnsiTheme="minorHAnsi" w:cs="Calibri"/>
          <w:sz w:val="20"/>
          <w:szCs w:val="20"/>
        </w:rPr>
        <w:t xml:space="preserve">RECURSO ESTATAL              </w:t>
      </w:r>
      <w:r>
        <w:rPr>
          <w:rFonts w:asciiTheme="minorHAnsi" w:hAnsiTheme="minorHAnsi" w:cs="Calibri"/>
          <w:sz w:val="20"/>
          <w:szCs w:val="20"/>
        </w:rPr>
        <w:t xml:space="preserve">0.00 </w:t>
      </w:r>
      <w:r w:rsidRPr="000B537F">
        <w:rPr>
          <w:rFonts w:asciiTheme="minorHAnsi" w:hAnsiTheme="minorHAnsi" w:cs="Calibri"/>
          <w:sz w:val="20"/>
          <w:szCs w:val="20"/>
        </w:rPr>
        <w:t>%</w:t>
      </w:r>
    </w:p>
    <w:p w14:paraId="5476DA98" w14:textId="77777777" w:rsidR="00FE7883" w:rsidRDefault="00FE7883" w:rsidP="00CB41C4">
      <w:pPr>
        <w:tabs>
          <w:tab w:val="left" w:leader="underscore" w:pos="9639"/>
        </w:tabs>
        <w:spacing w:after="0" w:line="240" w:lineRule="auto"/>
        <w:jc w:val="both"/>
        <w:rPr>
          <w:rFonts w:cs="Calibri"/>
          <w:b/>
        </w:rPr>
      </w:pPr>
    </w:p>
    <w:p w14:paraId="36C23337" w14:textId="2AA9EAF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485514" w14:textId="77777777" w:rsidR="00FE7883" w:rsidRDefault="00FE7883" w:rsidP="00FE7883">
      <w:pPr>
        <w:tabs>
          <w:tab w:val="left" w:leader="underscore" w:pos="9639"/>
        </w:tabs>
        <w:spacing w:after="0" w:line="240" w:lineRule="auto"/>
        <w:contextualSpacing/>
        <w:jc w:val="both"/>
        <w:rPr>
          <w:rFonts w:asciiTheme="minorHAnsi" w:hAnsiTheme="minorHAnsi" w:cs="Calibri"/>
          <w:sz w:val="20"/>
          <w:szCs w:val="20"/>
        </w:rPr>
      </w:pPr>
      <w:r>
        <w:rPr>
          <w:rFonts w:asciiTheme="minorHAnsi" w:hAnsiTheme="minorHAnsi" w:cs="Calibri"/>
          <w:sz w:val="20"/>
          <w:szCs w:val="20"/>
        </w:rPr>
        <w:t>Para el ejercicio 2024, se estima una recaudación como se menciona a continuación:</w:t>
      </w:r>
    </w:p>
    <w:p w14:paraId="7A3F5FA0" w14:textId="77777777" w:rsidR="00A26ACE" w:rsidRDefault="00A26ACE" w:rsidP="00FE7883">
      <w:pPr>
        <w:tabs>
          <w:tab w:val="left" w:leader="underscore" w:pos="9639"/>
        </w:tabs>
        <w:spacing w:after="0" w:line="240" w:lineRule="auto"/>
        <w:contextualSpacing/>
        <w:jc w:val="both"/>
        <w:rPr>
          <w:rFonts w:asciiTheme="minorHAnsi" w:hAnsiTheme="minorHAnsi" w:cs="Calibri"/>
          <w:sz w:val="20"/>
          <w:szCs w:val="20"/>
        </w:rPr>
      </w:pPr>
    </w:p>
    <w:p w14:paraId="51F4D7A0" w14:textId="77777777" w:rsidR="00FE7883" w:rsidRPr="000B537F" w:rsidRDefault="00FE7883" w:rsidP="00FE7883">
      <w:pPr>
        <w:tabs>
          <w:tab w:val="left" w:leader="underscore" w:pos="9639"/>
        </w:tabs>
        <w:spacing w:after="0" w:line="240" w:lineRule="auto"/>
        <w:contextualSpacing/>
        <w:jc w:val="both"/>
        <w:rPr>
          <w:rFonts w:asciiTheme="minorHAnsi" w:hAnsiTheme="minorHAnsi" w:cs="Calibri"/>
          <w:sz w:val="20"/>
          <w:szCs w:val="20"/>
        </w:rPr>
      </w:pPr>
    </w:p>
    <w:tbl>
      <w:tblPr>
        <w:tblW w:w="0" w:type="auto"/>
        <w:tblCellMar>
          <w:left w:w="70" w:type="dxa"/>
          <w:right w:w="70" w:type="dxa"/>
        </w:tblCellMar>
        <w:tblLook w:val="04A0" w:firstRow="1" w:lastRow="0" w:firstColumn="1" w:lastColumn="0" w:noHBand="0" w:noVBand="1"/>
      </w:tblPr>
      <w:tblGrid>
        <w:gridCol w:w="1450"/>
        <w:gridCol w:w="1939"/>
        <w:gridCol w:w="1774"/>
      </w:tblGrid>
      <w:tr w:rsidR="00FE7883" w:rsidRPr="006F197A" w14:paraId="0C6C9347" w14:textId="77777777" w:rsidTr="008A498E">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2F2F2"/>
            <w:vAlign w:val="bottom"/>
            <w:hideMark/>
          </w:tcPr>
          <w:p w14:paraId="3900FC87" w14:textId="77777777" w:rsidR="00FE7883" w:rsidRPr="006F197A" w:rsidRDefault="00FE7883" w:rsidP="008A498E">
            <w:pPr>
              <w:spacing w:after="0" w:line="240" w:lineRule="auto"/>
              <w:jc w:val="center"/>
              <w:rPr>
                <w:rFonts w:eastAsia="Times New Roman" w:cs="Calibri"/>
                <w:b/>
                <w:bCs/>
                <w:color w:val="000000"/>
                <w:sz w:val="24"/>
                <w:szCs w:val="24"/>
                <w:lang w:eastAsia="es-MX"/>
              </w:rPr>
            </w:pPr>
            <w:r w:rsidRPr="006F197A">
              <w:rPr>
                <w:rFonts w:eastAsia="Times New Roman" w:cs="Calibri"/>
                <w:b/>
                <w:bCs/>
                <w:color w:val="000000"/>
                <w:sz w:val="24"/>
                <w:szCs w:val="24"/>
                <w:lang w:eastAsia="es-MX"/>
              </w:rPr>
              <w:lastRenderedPageBreak/>
              <w:t>FONDO</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5E493FE" w14:textId="77777777" w:rsidR="00FE7883" w:rsidRPr="006F197A" w:rsidRDefault="00FE7883" w:rsidP="008A498E">
            <w:pPr>
              <w:spacing w:after="0" w:line="240" w:lineRule="auto"/>
              <w:jc w:val="center"/>
              <w:rPr>
                <w:rFonts w:eastAsia="Times New Roman" w:cs="Calibri"/>
                <w:b/>
                <w:bCs/>
                <w:color w:val="000000"/>
                <w:sz w:val="24"/>
                <w:szCs w:val="24"/>
                <w:lang w:eastAsia="es-MX"/>
              </w:rPr>
            </w:pPr>
            <w:r w:rsidRPr="006F197A">
              <w:rPr>
                <w:rFonts w:eastAsia="Times New Roman" w:cs="Calibri"/>
                <w:b/>
                <w:bCs/>
                <w:color w:val="000000"/>
                <w:sz w:val="24"/>
                <w:szCs w:val="24"/>
                <w:lang w:eastAsia="es-MX"/>
              </w:rPr>
              <w:t>CONCEPTO</w:t>
            </w:r>
          </w:p>
        </w:tc>
        <w:tc>
          <w:tcPr>
            <w:tcW w:w="1774" w:type="dxa"/>
            <w:tcBorders>
              <w:top w:val="single" w:sz="4" w:space="0" w:color="auto"/>
              <w:left w:val="nil"/>
              <w:bottom w:val="single" w:sz="4" w:space="0" w:color="auto"/>
              <w:right w:val="single" w:sz="4" w:space="0" w:color="auto"/>
            </w:tcBorders>
            <w:shd w:val="clear" w:color="000000" w:fill="F2F2F2"/>
            <w:noWrap/>
            <w:vAlign w:val="bottom"/>
            <w:hideMark/>
          </w:tcPr>
          <w:p w14:paraId="5D0E6604" w14:textId="77777777" w:rsidR="00FE7883" w:rsidRPr="006F197A" w:rsidRDefault="00FE7883" w:rsidP="008A498E">
            <w:pPr>
              <w:spacing w:after="0" w:line="240" w:lineRule="auto"/>
              <w:jc w:val="center"/>
              <w:rPr>
                <w:rFonts w:eastAsia="Times New Roman" w:cs="Calibri"/>
                <w:b/>
                <w:bCs/>
                <w:color w:val="000000"/>
                <w:sz w:val="24"/>
                <w:szCs w:val="24"/>
                <w:lang w:eastAsia="es-MX"/>
              </w:rPr>
            </w:pPr>
            <w:r w:rsidRPr="006F197A">
              <w:rPr>
                <w:rFonts w:eastAsia="Times New Roman" w:cs="Calibri"/>
                <w:b/>
                <w:bCs/>
                <w:color w:val="000000"/>
                <w:sz w:val="24"/>
                <w:szCs w:val="24"/>
                <w:lang w:eastAsia="es-MX"/>
              </w:rPr>
              <w:t xml:space="preserve"> IMPORTE </w:t>
            </w:r>
          </w:p>
        </w:tc>
      </w:tr>
      <w:tr w:rsidR="00FE7883" w:rsidRPr="006F197A" w14:paraId="7A98F27D" w14:textId="77777777" w:rsidTr="008A498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5ACCE1" w14:textId="77777777" w:rsidR="00FE7883" w:rsidRPr="006F197A" w:rsidRDefault="00FE7883" w:rsidP="008A498E">
            <w:pPr>
              <w:spacing w:after="0" w:line="240" w:lineRule="auto"/>
              <w:jc w:val="center"/>
              <w:rPr>
                <w:rFonts w:eastAsia="Times New Roman" w:cs="Calibri"/>
                <w:color w:val="000000"/>
                <w:sz w:val="24"/>
                <w:szCs w:val="24"/>
                <w:lang w:eastAsia="es-MX"/>
              </w:rPr>
            </w:pPr>
            <w:r w:rsidRPr="003B0DAE">
              <w:rPr>
                <w:rFonts w:eastAsia="Times New Roman" w:cs="Calibri"/>
                <w:color w:val="000000"/>
                <w:sz w:val="24"/>
                <w:szCs w:val="24"/>
                <w:lang w:eastAsia="es-MX"/>
              </w:rPr>
              <w:t>112</w:t>
            </w:r>
            <w:r>
              <w:rPr>
                <w:rFonts w:eastAsia="Times New Roman" w:cs="Calibri"/>
                <w:color w:val="000000"/>
                <w:sz w:val="24"/>
                <w:szCs w:val="24"/>
                <w:lang w:eastAsia="es-MX"/>
              </w:rPr>
              <w:t>4</w:t>
            </w:r>
            <w:r w:rsidRPr="003B0DAE">
              <w:rPr>
                <w:rFonts w:eastAsia="Times New Roman" w:cs="Calibri"/>
                <w:color w:val="000000"/>
                <w:sz w:val="24"/>
                <w:szCs w:val="24"/>
                <w:lang w:eastAsia="es-MX"/>
              </w:rPr>
              <w:t>110100</w:t>
            </w:r>
          </w:p>
        </w:tc>
        <w:tc>
          <w:tcPr>
            <w:tcW w:w="0" w:type="auto"/>
            <w:tcBorders>
              <w:top w:val="nil"/>
              <w:left w:val="nil"/>
              <w:bottom w:val="single" w:sz="4" w:space="0" w:color="auto"/>
              <w:right w:val="single" w:sz="4" w:space="0" w:color="auto"/>
            </w:tcBorders>
            <w:shd w:val="clear" w:color="auto" w:fill="auto"/>
            <w:noWrap/>
            <w:vAlign w:val="bottom"/>
            <w:hideMark/>
          </w:tcPr>
          <w:p w14:paraId="0272B586" w14:textId="77777777" w:rsidR="00FE7883" w:rsidRPr="006F197A" w:rsidRDefault="00FE7883" w:rsidP="008A498E">
            <w:pPr>
              <w:spacing w:after="0" w:line="240" w:lineRule="auto"/>
              <w:rPr>
                <w:rFonts w:eastAsia="Times New Roman" w:cs="Calibri"/>
                <w:color w:val="000000"/>
                <w:sz w:val="24"/>
                <w:szCs w:val="24"/>
                <w:lang w:eastAsia="es-MX"/>
              </w:rPr>
            </w:pPr>
            <w:r w:rsidRPr="006F197A">
              <w:rPr>
                <w:rFonts w:eastAsia="Times New Roman" w:cs="Calibri"/>
                <w:color w:val="000000"/>
                <w:sz w:val="24"/>
                <w:szCs w:val="24"/>
                <w:lang w:eastAsia="es-MX"/>
              </w:rPr>
              <w:t>Recurso</w:t>
            </w:r>
            <w:r>
              <w:rPr>
                <w:rFonts w:eastAsia="Times New Roman" w:cs="Calibri"/>
                <w:color w:val="000000"/>
                <w:sz w:val="24"/>
                <w:szCs w:val="24"/>
                <w:lang w:eastAsia="es-MX"/>
              </w:rPr>
              <w:t>s Fiscales</w:t>
            </w:r>
          </w:p>
        </w:tc>
        <w:tc>
          <w:tcPr>
            <w:tcW w:w="1774" w:type="dxa"/>
            <w:tcBorders>
              <w:top w:val="nil"/>
              <w:left w:val="nil"/>
              <w:bottom w:val="single" w:sz="4" w:space="0" w:color="auto"/>
              <w:right w:val="single" w:sz="4" w:space="0" w:color="auto"/>
            </w:tcBorders>
            <w:shd w:val="clear" w:color="auto" w:fill="auto"/>
            <w:noWrap/>
            <w:vAlign w:val="bottom"/>
            <w:hideMark/>
          </w:tcPr>
          <w:p w14:paraId="05AA8ABC" w14:textId="77777777" w:rsidR="00FE7883" w:rsidRPr="006F197A" w:rsidRDefault="00FE7883" w:rsidP="008A498E">
            <w:pPr>
              <w:spacing w:after="0" w:line="240" w:lineRule="auto"/>
              <w:jc w:val="right"/>
              <w:rPr>
                <w:rFonts w:eastAsia="Times New Roman" w:cs="Calibri"/>
                <w:color w:val="000000"/>
                <w:sz w:val="24"/>
                <w:szCs w:val="24"/>
                <w:lang w:eastAsia="es-MX"/>
              </w:rPr>
            </w:pPr>
            <w:r w:rsidRPr="00F55785">
              <w:rPr>
                <w:rFonts w:eastAsia="Times New Roman" w:cs="Calibri"/>
                <w:color w:val="000000"/>
                <w:sz w:val="24"/>
                <w:szCs w:val="24"/>
                <w:lang w:eastAsia="es-MX"/>
              </w:rPr>
              <w:t>61</w:t>
            </w:r>
            <w:r>
              <w:rPr>
                <w:rFonts w:eastAsia="Times New Roman" w:cs="Calibri"/>
                <w:color w:val="000000"/>
                <w:sz w:val="24"/>
                <w:szCs w:val="24"/>
                <w:lang w:eastAsia="es-MX"/>
              </w:rPr>
              <w:t>,</w:t>
            </w:r>
            <w:r w:rsidRPr="00F55785">
              <w:rPr>
                <w:rFonts w:eastAsia="Times New Roman" w:cs="Calibri"/>
                <w:color w:val="000000"/>
                <w:sz w:val="24"/>
                <w:szCs w:val="24"/>
                <w:lang w:eastAsia="es-MX"/>
              </w:rPr>
              <w:t>091</w:t>
            </w:r>
            <w:r>
              <w:rPr>
                <w:rFonts w:eastAsia="Times New Roman" w:cs="Calibri"/>
                <w:color w:val="000000"/>
                <w:sz w:val="24"/>
                <w:szCs w:val="24"/>
                <w:lang w:eastAsia="es-MX"/>
              </w:rPr>
              <w:t>,</w:t>
            </w:r>
            <w:r w:rsidRPr="00F55785">
              <w:rPr>
                <w:rFonts w:eastAsia="Times New Roman" w:cs="Calibri"/>
                <w:color w:val="000000"/>
                <w:sz w:val="24"/>
                <w:szCs w:val="24"/>
                <w:lang w:eastAsia="es-MX"/>
              </w:rPr>
              <w:t>099.2</w:t>
            </w:r>
            <w:r>
              <w:rPr>
                <w:rFonts w:eastAsia="Times New Roman" w:cs="Calibri"/>
                <w:color w:val="000000"/>
                <w:sz w:val="24"/>
                <w:szCs w:val="24"/>
                <w:lang w:eastAsia="es-MX"/>
              </w:rPr>
              <w:t>0</w:t>
            </w:r>
          </w:p>
        </w:tc>
      </w:tr>
      <w:tr w:rsidR="00FE7883" w:rsidRPr="006F197A" w14:paraId="1390727B" w14:textId="77777777" w:rsidTr="008A498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9B8BFA" w14:textId="77777777" w:rsidR="00FE7883" w:rsidRPr="006F197A" w:rsidRDefault="00FE7883" w:rsidP="008A498E">
            <w:pPr>
              <w:spacing w:after="0" w:line="240" w:lineRule="auto"/>
              <w:jc w:val="center"/>
              <w:rPr>
                <w:rFonts w:eastAsia="Times New Roman" w:cs="Calibri"/>
                <w:color w:val="000000"/>
                <w:sz w:val="24"/>
                <w:szCs w:val="24"/>
                <w:lang w:eastAsia="es-MX"/>
              </w:rPr>
            </w:pPr>
            <w:r w:rsidRPr="003B0DAE">
              <w:rPr>
                <w:rFonts w:eastAsia="Times New Roman" w:cs="Calibri"/>
                <w:color w:val="000000"/>
                <w:sz w:val="24"/>
                <w:szCs w:val="24"/>
                <w:lang w:eastAsia="es-MX"/>
              </w:rPr>
              <w:t>142</w:t>
            </w:r>
            <w:r>
              <w:rPr>
                <w:rFonts w:eastAsia="Times New Roman" w:cs="Calibri"/>
                <w:color w:val="000000"/>
                <w:sz w:val="24"/>
                <w:szCs w:val="24"/>
                <w:lang w:eastAsia="es-MX"/>
              </w:rPr>
              <w:t>4</w:t>
            </w:r>
            <w:r w:rsidRPr="003B0DAE">
              <w:rPr>
                <w:rFonts w:eastAsia="Times New Roman" w:cs="Calibri"/>
                <w:color w:val="000000"/>
                <w:sz w:val="24"/>
                <w:szCs w:val="24"/>
                <w:lang w:eastAsia="es-MX"/>
              </w:rPr>
              <w:t>700000</w:t>
            </w:r>
          </w:p>
        </w:tc>
        <w:tc>
          <w:tcPr>
            <w:tcW w:w="0" w:type="auto"/>
            <w:tcBorders>
              <w:top w:val="nil"/>
              <w:left w:val="nil"/>
              <w:bottom w:val="single" w:sz="4" w:space="0" w:color="auto"/>
              <w:right w:val="single" w:sz="4" w:space="0" w:color="auto"/>
            </w:tcBorders>
            <w:shd w:val="clear" w:color="auto" w:fill="auto"/>
            <w:noWrap/>
            <w:vAlign w:val="bottom"/>
            <w:hideMark/>
          </w:tcPr>
          <w:p w14:paraId="6255D9FF" w14:textId="77777777" w:rsidR="00FE7883" w:rsidRPr="006F197A" w:rsidRDefault="00FE7883" w:rsidP="008A498E">
            <w:pPr>
              <w:spacing w:after="0" w:line="240" w:lineRule="auto"/>
              <w:rPr>
                <w:rFonts w:eastAsia="Times New Roman" w:cs="Calibri"/>
                <w:color w:val="000000"/>
                <w:sz w:val="24"/>
                <w:szCs w:val="24"/>
                <w:lang w:eastAsia="es-MX"/>
              </w:rPr>
            </w:pPr>
            <w:r>
              <w:rPr>
                <w:rFonts w:eastAsia="Times New Roman" w:cs="Calibri"/>
                <w:color w:val="000000"/>
                <w:sz w:val="24"/>
                <w:szCs w:val="24"/>
                <w:lang w:eastAsia="es-MX"/>
              </w:rPr>
              <w:t>Ingresos Propios</w:t>
            </w:r>
          </w:p>
        </w:tc>
        <w:tc>
          <w:tcPr>
            <w:tcW w:w="1774" w:type="dxa"/>
            <w:tcBorders>
              <w:top w:val="nil"/>
              <w:left w:val="nil"/>
              <w:bottom w:val="single" w:sz="4" w:space="0" w:color="auto"/>
              <w:right w:val="single" w:sz="4" w:space="0" w:color="auto"/>
            </w:tcBorders>
            <w:shd w:val="clear" w:color="auto" w:fill="auto"/>
            <w:noWrap/>
            <w:vAlign w:val="bottom"/>
            <w:hideMark/>
          </w:tcPr>
          <w:p w14:paraId="12990639" w14:textId="77777777" w:rsidR="00FE7883" w:rsidRPr="006F197A" w:rsidRDefault="00FE7883" w:rsidP="008A498E">
            <w:pPr>
              <w:spacing w:after="0" w:line="240" w:lineRule="auto"/>
              <w:jc w:val="right"/>
              <w:rPr>
                <w:rFonts w:eastAsia="Times New Roman" w:cs="Calibri"/>
                <w:color w:val="000000"/>
                <w:sz w:val="24"/>
                <w:szCs w:val="24"/>
                <w:lang w:eastAsia="es-MX"/>
              </w:rPr>
            </w:pPr>
            <w:r w:rsidRPr="00F55785">
              <w:rPr>
                <w:rFonts w:eastAsia="Times New Roman" w:cs="Calibri"/>
                <w:color w:val="000000"/>
                <w:sz w:val="24"/>
                <w:szCs w:val="24"/>
                <w:lang w:eastAsia="es-MX"/>
              </w:rPr>
              <w:t>7</w:t>
            </w:r>
            <w:r>
              <w:rPr>
                <w:rFonts w:eastAsia="Times New Roman" w:cs="Calibri"/>
                <w:color w:val="000000"/>
                <w:sz w:val="24"/>
                <w:szCs w:val="24"/>
                <w:lang w:eastAsia="es-MX"/>
              </w:rPr>
              <w:t>,</w:t>
            </w:r>
            <w:r w:rsidRPr="00F55785">
              <w:rPr>
                <w:rFonts w:eastAsia="Times New Roman" w:cs="Calibri"/>
                <w:color w:val="000000"/>
                <w:sz w:val="24"/>
                <w:szCs w:val="24"/>
                <w:lang w:eastAsia="es-MX"/>
              </w:rPr>
              <w:t>467</w:t>
            </w:r>
            <w:r>
              <w:rPr>
                <w:rFonts w:eastAsia="Times New Roman" w:cs="Calibri"/>
                <w:color w:val="000000"/>
                <w:sz w:val="24"/>
                <w:szCs w:val="24"/>
                <w:lang w:eastAsia="es-MX"/>
              </w:rPr>
              <w:t>,</w:t>
            </w:r>
            <w:r w:rsidRPr="00F55785">
              <w:rPr>
                <w:rFonts w:eastAsia="Times New Roman" w:cs="Calibri"/>
                <w:color w:val="000000"/>
                <w:sz w:val="24"/>
                <w:szCs w:val="24"/>
                <w:lang w:eastAsia="es-MX"/>
              </w:rPr>
              <w:t>207.03</w:t>
            </w:r>
          </w:p>
        </w:tc>
      </w:tr>
      <w:tr w:rsidR="00FE7883" w:rsidRPr="006F197A" w14:paraId="66EA3510" w14:textId="77777777" w:rsidTr="008A498E">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848DE2" w14:textId="77777777" w:rsidR="00FE7883" w:rsidRPr="006F197A" w:rsidRDefault="00FE7883" w:rsidP="008A498E">
            <w:pPr>
              <w:spacing w:after="0" w:line="240" w:lineRule="auto"/>
              <w:jc w:val="center"/>
              <w:rPr>
                <w:rFonts w:eastAsia="Times New Roman" w:cs="Calibri"/>
                <w:color w:val="000000"/>
                <w:sz w:val="24"/>
                <w:szCs w:val="24"/>
                <w:lang w:eastAsia="es-MX"/>
              </w:rPr>
            </w:pPr>
            <w:r w:rsidRPr="003B0DAE">
              <w:rPr>
                <w:rFonts w:eastAsia="Times New Roman" w:cs="Calibri"/>
                <w:color w:val="000000"/>
                <w:sz w:val="24"/>
                <w:szCs w:val="24"/>
                <w:lang w:eastAsia="es-MX"/>
              </w:rPr>
              <w:t>172</w:t>
            </w:r>
            <w:r>
              <w:rPr>
                <w:rFonts w:eastAsia="Times New Roman" w:cs="Calibri"/>
                <w:color w:val="000000"/>
                <w:sz w:val="24"/>
                <w:szCs w:val="24"/>
                <w:lang w:eastAsia="es-MX"/>
              </w:rPr>
              <w:t>4</w:t>
            </w:r>
            <w:r w:rsidRPr="003B0DAE">
              <w:rPr>
                <w:rFonts w:eastAsia="Times New Roman" w:cs="Calibri"/>
                <w:color w:val="000000"/>
                <w:sz w:val="24"/>
                <w:szCs w:val="24"/>
                <w:lang w:eastAsia="es-MX"/>
              </w:rPr>
              <w:t>911100</w:t>
            </w:r>
          </w:p>
        </w:tc>
        <w:tc>
          <w:tcPr>
            <w:tcW w:w="0" w:type="auto"/>
            <w:tcBorders>
              <w:top w:val="nil"/>
              <w:left w:val="nil"/>
              <w:bottom w:val="single" w:sz="4" w:space="0" w:color="auto"/>
              <w:right w:val="single" w:sz="4" w:space="0" w:color="auto"/>
            </w:tcBorders>
            <w:shd w:val="clear" w:color="auto" w:fill="auto"/>
            <w:noWrap/>
            <w:vAlign w:val="bottom"/>
            <w:hideMark/>
          </w:tcPr>
          <w:p w14:paraId="2343EF98" w14:textId="77777777" w:rsidR="00FE7883" w:rsidRPr="006F197A" w:rsidRDefault="00FE7883" w:rsidP="008A498E">
            <w:pPr>
              <w:spacing w:after="0" w:line="240" w:lineRule="auto"/>
              <w:rPr>
                <w:rFonts w:eastAsia="Times New Roman" w:cs="Calibri"/>
                <w:color w:val="000000"/>
                <w:sz w:val="24"/>
                <w:szCs w:val="24"/>
                <w:lang w:eastAsia="es-MX"/>
              </w:rPr>
            </w:pPr>
            <w:r>
              <w:rPr>
                <w:rFonts w:eastAsia="Times New Roman" w:cs="Calibri"/>
                <w:color w:val="000000"/>
                <w:sz w:val="24"/>
                <w:szCs w:val="24"/>
                <w:lang w:eastAsia="es-MX"/>
              </w:rPr>
              <w:t>Trans Estatales</w:t>
            </w:r>
          </w:p>
        </w:tc>
        <w:tc>
          <w:tcPr>
            <w:tcW w:w="1774" w:type="dxa"/>
            <w:tcBorders>
              <w:top w:val="nil"/>
              <w:left w:val="nil"/>
              <w:bottom w:val="single" w:sz="4" w:space="0" w:color="auto"/>
              <w:right w:val="single" w:sz="4" w:space="0" w:color="auto"/>
            </w:tcBorders>
            <w:shd w:val="clear" w:color="auto" w:fill="auto"/>
            <w:noWrap/>
            <w:vAlign w:val="bottom"/>
            <w:hideMark/>
          </w:tcPr>
          <w:p w14:paraId="004B618E" w14:textId="77777777" w:rsidR="00FE7883" w:rsidRPr="006F197A" w:rsidRDefault="00FE7883" w:rsidP="008A498E">
            <w:pPr>
              <w:spacing w:after="0" w:line="240" w:lineRule="auto"/>
              <w:jc w:val="right"/>
              <w:rPr>
                <w:rFonts w:eastAsia="Times New Roman" w:cs="Calibri"/>
                <w:color w:val="000000"/>
                <w:sz w:val="24"/>
                <w:szCs w:val="24"/>
                <w:lang w:eastAsia="es-MX"/>
              </w:rPr>
            </w:pPr>
            <w:r>
              <w:rPr>
                <w:rFonts w:eastAsia="Times New Roman" w:cs="Calibri"/>
                <w:color w:val="000000"/>
                <w:sz w:val="24"/>
                <w:szCs w:val="24"/>
                <w:lang w:eastAsia="es-MX"/>
              </w:rPr>
              <w:t>500,000.00</w:t>
            </w:r>
          </w:p>
        </w:tc>
      </w:tr>
      <w:tr w:rsidR="00FE7883" w:rsidRPr="006F197A" w14:paraId="47F832F9" w14:textId="77777777" w:rsidTr="008A498E">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294A9" w14:textId="77777777" w:rsidR="00FE7883" w:rsidRPr="006F197A" w:rsidRDefault="00FE7883" w:rsidP="008A498E">
            <w:pPr>
              <w:spacing w:after="0" w:line="240" w:lineRule="auto"/>
              <w:jc w:val="center"/>
              <w:rPr>
                <w:rFonts w:eastAsia="Times New Roman" w:cs="Calibri"/>
                <w:b/>
                <w:bCs/>
                <w:i/>
                <w:iCs/>
                <w:color w:val="000000"/>
                <w:sz w:val="24"/>
                <w:szCs w:val="24"/>
                <w:lang w:eastAsia="es-MX"/>
              </w:rPr>
            </w:pPr>
            <w:r w:rsidRPr="006F197A">
              <w:rPr>
                <w:rFonts w:eastAsia="Times New Roman" w:cs="Calibri"/>
                <w:b/>
                <w:bCs/>
                <w:i/>
                <w:iCs/>
                <w:color w:val="000000"/>
                <w:sz w:val="24"/>
                <w:szCs w:val="24"/>
                <w:lang w:eastAsia="es-MX"/>
              </w:rPr>
              <w:t xml:space="preserve">PRONOSTICO DE INGRESOS </w:t>
            </w:r>
            <w:r>
              <w:rPr>
                <w:rFonts w:eastAsia="Times New Roman" w:cs="Calibri"/>
                <w:b/>
                <w:bCs/>
                <w:i/>
                <w:iCs/>
                <w:color w:val="000000"/>
                <w:sz w:val="24"/>
                <w:szCs w:val="24"/>
                <w:lang w:eastAsia="es-MX"/>
              </w:rPr>
              <w:t>2024</w:t>
            </w:r>
          </w:p>
        </w:tc>
        <w:tc>
          <w:tcPr>
            <w:tcW w:w="1774" w:type="dxa"/>
            <w:tcBorders>
              <w:top w:val="nil"/>
              <w:left w:val="nil"/>
              <w:bottom w:val="single" w:sz="4" w:space="0" w:color="auto"/>
              <w:right w:val="single" w:sz="4" w:space="0" w:color="auto"/>
            </w:tcBorders>
            <w:shd w:val="clear" w:color="auto" w:fill="auto"/>
            <w:noWrap/>
            <w:vAlign w:val="bottom"/>
            <w:hideMark/>
          </w:tcPr>
          <w:p w14:paraId="780DE431" w14:textId="77777777" w:rsidR="00FE7883" w:rsidRPr="006F197A" w:rsidRDefault="00FE7883" w:rsidP="008A498E">
            <w:pPr>
              <w:spacing w:after="0" w:line="240" w:lineRule="auto"/>
              <w:jc w:val="right"/>
              <w:rPr>
                <w:rFonts w:eastAsia="Times New Roman" w:cs="Calibri"/>
                <w:b/>
                <w:bCs/>
                <w:i/>
                <w:iCs/>
                <w:color w:val="000000"/>
                <w:sz w:val="24"/>
                <w:szCs w:val="24"/>
                <w:lang w:eastAsia="es-MX"/>
              </w:rPr>
            </w:pPr>
            <w:r w:rsidRPr="00F55785">
              <w:rPr>
                <w:rFonts w:eastAsia="Times New Roman" w:cs="Calibri"/>
                <w:b/>
                <w:bCs/>
                <w:i/>
                <w:iCs/>
                <w:color w:val="000000"/>
                <w:sz w:val="24"/>
                <w:szCs w:val="24"/>
                <w:lang w:eastAsia="es-MX"/>
              </w:rPr>
              <w:t>69</w:t>
            </w:r>
            <w:r>
              <w:rPr>
                <w:rFonts w:eastAsia="Times New Roman" w:cs="Calibri"/>
                <w:b/>
                <w:bCs/>
                <w:i/>
                <w:iCs/>
                <w:color w:val="000000"/>
                <w:sz w:val="24"/>
                <w:szCs w:val="24"/>
                <w:lang w:eastAsia="es-MX"/>
              </w:rPr>
              <w:t>,</w:t>
            </w:r>
            <w:r w:rsidRPr="00F55785">
              <w:rPr>
                <w:rFonts w:eastAsia="Times New Roman" w:cs="Calibri"/>
                <w:b/>
                <w:bCs/>
                <w:i/>
                <w:iCs/>
                <w:color w:val="000000"/>
                <w:sz w:val="24"/>
                <w:szCs w:val="24"/>
                <w:lang w:eastAsia="es-MX"/>
              </w:rPr>
              <w:t>058</w:t>
            </w:r>
            <w:r>
              <w:rPr>
                <w:rFonts w:eastAsia="Times New Roman" w:cs="Calibri"/>
                <w:b/>
                <w:bCs/>
                <w:i/>
                <w:iCs/>
                <w:color w:val="000000"/>
                <w:sz w:val="24"/>
                <w:szCs w:val="24"/>
                <w:lang w:eastAsia="es-MX"/>
              </w:rPr>
              <w:t>,</w:t>
            </w:r>
            <w:r w:rsidRPr="00F55785">
              <w:rPr>
                <w:rFonts w:eastAsia="Times New Roman" w:cs="Calibri"/>
                <w:b/>
                <w:bCs/>
                <w:i/>
                <w:iCs/>
                <w:color w:val="000000"/>
                <w:sz w:val="24"/>
                <w:szCs w:val="24"/>
                <w:lang w:eastAsia="es-MX"/>
              </w:rPr>
              <w:t>306.23</w:t>
            </w:r>
          </w:p>
        </w:tc>
      </w:tr>
    </w:tbl>
    <w:p w14:paraId="17C84803" w14:textId="77777777" w:rsidR="00FE7883" w:rsidRPr="000B537F" w:rsidRDefault="00FE7883" w:rsidP="00FE7883">
      <w:pPr>
        <w:pStyle w:val="Ttulo2"/>
        <w:contextualSpacing/>
        <w:rPr>
          <w:rFonts w:asciiTheme="minorHAnsi" w:hAnsiTheme="minorHAnsi" w:cstheme="minorHAnsi"/>
          <w:b/>
          <w:color w:val="auto"/>
          <w:sz w:val="20"/>
          <w:szCs w:val="20"/>
        </w:rPr>
      </w:pPr>
    </w:p>
    <w:p w14:paraId="3C8B84C2" w14:textId="6C446400" w:rsidR="00FE7883"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74D908BA" w14:textId="77777777" w:rsidR="00A26ACE" w:rsidRPr="00E74967" w:rsidRDefault="00A26AC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9AA26EA" w14:textId="3DC3A693" w:rsidR="00FE7883" w:rsidRPr="00E74967" w:rsidRDefault="00FE7883" w:rsidP="00CB41C4">
      <w:pPr>
        <w:tabs>
          <w:tab w:val="left" w:leader="underscore" w:pos="9639"/>
        </w:tabs>
        <w:spacing w:after="0" w:line="240" w:lineRule="auto"/>
        <w:jc w:val="both"/>
        <w:rPr>
          <w:rFonts w:cs="Calibri"/>
        </w:rPr>
      </w:pPr>
      <w:r>
        <w:rPr>
          <w:rFonts w:cs="Calibri"/>
        </w:rPr>
        <w:t>No Aplica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50397C7F" w:rsidR="007D1E76" w:rsidRPr="00E74967" w:rsidRDefault="00FE7883" w:rsidP="00CB41C4">
      <w:pPr>
        <w:tabs>
          <w:tab w:val="left" w:leader="underscore" w:pos="9639"/>
        </w:tabs>
        <w:spacing w:after="0" w:line="240" w:lineRule="auto"/>
        <w:jc w:val="both"/>
        <w:rPr>
          <w:rFonts w:cs="Calibri"/>
        </w:rPr>
      </w:pPr>
      <w:r>
        <w:rPr>
          <w:rFonts w:cs="Calibri"/>
        </w:rPr>
        <w:t>No Aplica</w:t>
      </w:r>
    </w:p>
    <w:p w14:paraId="409B1D78" w14:textId="77777777" w:rsidR="007D1E76" w:rsidRDefault="007D1E76" w:rsidP="00CB41C4">
      <w:pPr>
        <w:tabs>
          <w:tab w:val="left" w:leader="underscore" w:pos="9639"/>
        </w:tabs>
        <w:spacing w:after="0" w:line="240" w:lineRule="auto"/>
        <w:jc w:val="both"/>
        <w:rPr>
          <w:rFonts w:cs="Calibri"/>
        </w:rPr>
      </w:pPr>
    </w:p>
    <w:p w14:paraId="1AD057B3" w14:textId="4530B378" w:rsidR="00FE7883"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5ACE7CF7" w14:textId="77777777" w:rsidR="00A26ACE" w:rsidRPr="00E74967" w:rsidRDefault="00A26ACE"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5BB7F526" w:rsidR="007D1E76" w:rsidRPr="00E74967" w:rsidRDefault="00FE7883" w:rsidP="00CB41C4">
      <w:pPr>
        <w:tabs>
          <w:tab w:val="left" w:leader="underscore" w:pos="9639"/>
        </w:tabs>
        <w:spacing w:after="0" w:line="240" w:lineRule="auto"/>
        <w:jc w:val="both"/>
        <w:rPr>
          <w:rFonts w:cs="Calibri"/>
        </w:rPr>
      </w:pPr>
      <w:r>
        <w:rPr>
          <w:rFonts w:cs="Calibri"/>
        </w:rPr>
        <w:t>No Aplica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3E9CEBAB" w:rsidR="007D1E76"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051A4F73" w14:textId="77777777" w:rsidR="00A26ACE" w:rsidRPr="00E74967" w:rsidRDefault="00A26AC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2001B00" w14:textId="77777777" w:rsidR="00FE7883" w:rsidRPr="000B537F" w:rsidRDefault="00FE7883" w:rsidP="00FE7883">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ASIGNACIÓN DE FONDOS FIJOS</w:t>
      </w:r>
    </w:p>
    <w:p w14:paraId="3918ADA3" w14:textId="77777777" w:rsidR="00FE7883" w:rsidRPr="000B537F" w:rsidRDefault="00FE7883" w:rsidP="00FE7883">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CONTROL PRESUPUESTAL POR ÁREAS</w:t>
      </w:r>
    </w:p>
    <w:p w14:paraId="02CA0981" w14:textId="77777777" w:rsidR="00FE7883" w:rsidRPr="000B537F" w:rsidRDefault="00FE7883" w:rsidP="00FE7883">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APLICACIÓN DE MEDIAS DE AUSTERIDAD</w:t>
      </w:r>
    </w:p>
    <w:p w14:paraId="1BDB51B0" w14:textId="77777777" w:rsidR="00FE7883" w:rsidRPr="000B537F" w:rsidRDefault="00FE7883" w:rsidP="00FE7883">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CONTROL APLICACIÓN DE RECURSOS EN LA ADQUISICIÓN DE ACTIVOS</w:t>
      </w:r>
    </w:p>
    <w:p w14:paraId="0132FB08" w14:textId="396E92BC"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59EF51F6" w:rsidR="007D1E76" w:rsidRPr="00E74967" w:rsidRDefault="00FE7883" w:rsidP="00CB41C4">
      <w:pPr>
        <w:tabs>
          <w:tab w:val="left" w:leader="underscore" w:pos="9639"/>
        </w:tabs>
        <w:spacing w:after="0" w:line="240" w:lineRule="auto"/>
        <w:jc w:val="both"/>
        <w:rPr>
          <w:rFonts w:cs="Calibri"/>
        </w:rPr>
      </w:pPr>
      <w:r>
        <w:rPr>
          <w:rFonts w:cs="Calibri"/>
        </w:rPr>
        <w:lastRenderedPageBreak/>
        <w:t>POA</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6E0B7BD3" w:rsidR="007D1E76"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3FB7FB96" w14:textId="77777777" w:rsidR="00A26ACE" w:rsidRPr="00E74967" w:rsidRDefault="00A26ACE"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423C2B48" w:rsidR="007D1E76"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796D85FC" w14:textId="77777777" w:rsidR="00A26ACE" w:rsidRPr="00E74967" w:rsidRDefault="00A26ACE"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725E2723" w14:textId="77777777" w:rsidR="00FE7883" w:rsidRDefault="007D1E76" w:rsidP="00FE7883">
      <w:pPr>
        <w:tabs>
          <w:tab w:val="left" w:leader="underscore" w:pos="9639"/>
        </w:tabs>
        <w:spacing w:after="0" w:line="240" w:lineRule="auto"/>
        <w:contextualSpacing/>
        <w:jc w:val="both"/>
        <w:rPr>
          <w:rFonts w:asciiTheme="minorHAnsi" w:hAnsiTheme="minorHAnsi" w:cs="Calibri"/>
          <w:sz w:val="20"/>
          <w:szCs w:val="20"/>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FE7883">
        <w:rPr>
          <w:rFonts w:asciiTheme="minorHAnsi" w:hAnsiTheme="minorHAnsi" w:cs="Calibri"/>
          <w:sz w:val="20"/>
          <w:szCs w:val="20"/>
        </w:rPr>
        <w:t>No se tiene información relevante que informar.</w:t>
      </w:r>
    </w:p>
    <w:p w14:paraId="44EC039E" w14:textId="77777777" w:rsidR="00A26ACE" w:rsidRDefault="00A26ACE" w:rsidP="00FE7883">
      <w:pPr>
        <w:tabs>
          <w:tab w:val="left" w:leader="underscore" w:pos="9639"/>
        </w:tabs>
        <w:spacing w:after="0" w:line="240" w:lineRule="auto"/>
        <w:contextualSpacing/>
        <w:jc w:val="both"/>
        <w:rPr>
          <w:rFonts w:asciiTheme="minorHAnsi" w:hAnsiTheme="minorHAnsi" w:cs="Calibri"/>
          <w:sz w:val="20"/>
          <w:szCs w:val="20"/>
        </w:rPr>
      </w:pPr>
    </w:p>
    <w:p w14:paraId="55D08D4D" w14:textId="264E5B89" w:rsidR="007D1E76" w:rsidRDefault="00A26ACE" w:rsidP="00CB41C4">
      <w:pPr>
        <w:tabs>
          <w:tab w:val="left" w:leader="underscore" w:pos="9639"/>
        </w:tabs>
        <w:spacing w:after="0" w:line="240" w:lineRule="auto"/>
        <w:jc w:val="both"/>
        <w:rPr>
          <w:rFonts w:cs="Calibri"/>
        </w:rPr>
      </w:pPr>
      <w:r>
        <w:rPr>
          <w:rFonts w:cs="Calibri"/>
        </w:rPr>
        <w:t>“</w:t>
      </w:r>
      <w:r w:rsidRPr="00C4625D">
        <w:rPr>
          <w:rFonts w:cs="Calibri"/>
        </w:rPr>
        <w:t>Bajo protesta de decir verdad declaramos que los Estados Financieros y sus notas, son razonablemente correctos y son responsabilidad del emisor”</w:t>
      </w:r>
    </w:p>
    <w:p w14:paraId="3C170594" w14:textId="77777777" w:rsidR="00A26ACE" w:rsidRPr="00E74967" w:rsidRDefault="00A26ACE"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B07840" w14:textId="77777777" w:rsidR="00FE7883" w:rsidRDefault="00FE7883" w:rsidP="00FE7883">
      <w:pPr>
        <w:tabs>
          <w:tab w:val="left" w:leader="underscore" w:pos="9639"/>
        </w:tabs>
        <w:spacing w:after="0" w:line="240" w:lineRule="auto"/>
        <w:contextualSpacing/>
        <w:jc w:val="both"/>
        <w:rPr>
          <w:rFonts w:asciiTheme="minorHAnsi" w:hAnsiTheme="minorHAnsi" w:cs="Calibri"/>
          <w:sz w:val="20"/>
          <w:szCs w:val="20"/>
        </w:rPr>
      </w:pPr>
      <w:r w:rsidRPr="000B537F">
        <w:rPr>
          <w:rFonts w:asciiTheme="minorHAnsi" w:hAnsiTheme="minorHAnsi" w:cs="Calibri"/>
          <w:sz w:val="20"/>
          <w:szCs w:val="20"/>
        </w:rPr>
        <w:t>NO existen partes relacionadas que pudieran ejercer influencia significativa sobre la toma de decisiones financieras y operativas de esta Institución</w:t>
      </w:r>
    </w:p>
    <w:p w14:paraId="596BABA7" w14:textId="77777777" w:rsidR="00A26ACE" w:rsidRDefault="00A26ACE" w:rsidP="00FE7883">
      <w:pPr>
        <w:tabs>
          <w:tab w:val="left" w:leader="underscore" w:pos="9639"/>
        </w:tabs>
        <w:spacing w:after="0" w:line="240" w:lineRule="auto"/>
        <w:contextualSpacing/>
        <w:jc w:val="both"/>
        <w:rPr>
          <w:rFonts w:asciiTheme="minorHAnsi" w:hAnsiTheme="minorHAnsi" w:cs="Calibri"/>
          <w:sz w:val="20"/>
          <w:szCs w:val="20"/>
        </w:rPr>
      </w:pPr>
    </w:p>
    <w:p w14:paraId="220201F9" w14:textId="0BFBDDBF" w:rsidR="00FE7883" w:rsidRPr="000B537F" w:rsidRDefault="00A26ACE" w:rsidP="00FE7883">
      <w:pPr>
        <w:tabs>
          <w:tab w:val="left" w:leader="underscore" w:pos="9639"/>
        </w:tabs>
        <w:spacing w:after="0" w:line="240" w:lineRule="auto"/>
        <w:contextualSpacing/>
        <w:jc w:val="both"/>
        <w:rPr>
          <w:rFonts w:asciiTheme="minorHAnsi" w:hAnsiTheme="minorHAnsi" w:cs="Calibri"/>
          <w:sz w:val="20"/>
          <w:szCs w:val="20"/>
        </w:rPr>
      </w:pPr>
      <w:r>
        <w:rPr>
          <w:rFonts w:cs="Calibri"/>
        </w:rPr>
        <w:t>“</w:t>
      </w:r>
      <w:r w:rsidRPr="00C4625D">
        <w:rPr>
          <w:rFonts w:cs="Calibri"/>
        </w:rPr>
        <w:t>Bajo protesta de decir verdad declaramos que los Estados Financieros y sus notas, son razonablemente correctos y son responsabilidad del emisor”</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la misma e incluir al final la siguiente leyenda: “Bajo protesta de decir verdad declaramos que los Estados Financieros y sus notas, son </w:t>
      </w:r>
      <w:r w:rsidRPr="00C4625D">
        <w:rPr>
          <w:rFonts w:cs="Calibri"/>
        </w:rPr>
        <w:lastRenderedPageBreak/>
        <w:t>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74ADEE92" w14:textId="77777777" w:rsidR="00211441" w:rsidRDefault="00211441" w:rsidP="00CB41C4">
      <w:pPr>
        <w:tabs>
          <w:tab w:val="left" w:leader="underscore" w:pos="9639"/>
        </w:tabs>
        <w:spacing w:after="0" w:line="240" w:lineRule="auto"/>
        <w:jc w:val="both"/>
        <w:rPr>
          <w:rFonts w:cs="Calibri"/>
        </w:rPr>
      </w:pPr>
    </w:p>
    <w:p w14:paraId="37D300DC" w14:textId="11980B2D" w:rsidR="00211441" w:rsidRPr="00E74967" w:rsidRDefault="00211441"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sectPr w:rsidR="00211441" w:rsidRPr="00E74967" w:rsidSect="004E40E7">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3A7E2" w14:textId="77777777" w:rsidR="004E40E7" w:rsidRDefault="004E40E7" w:rsidP="00E00323">
      <w:pPr>
        <w:spacing w:after="0" w:line="240" w:lineRule="auto"/>
      </w:pPr>
      <w:r>
        <w:separator/>
      </w:r>
    </w:p>
  </w:endnote>
  <w:endnote w:type="continuationSeparator" w:id="0">
    <w:p w14:paraId="08912073" w14:textId="77777777" w:rsidR="004E40E7" w:rsidRDefault="004E40E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A5FA0" w14:textId="77777777" w:rsidR="004E40E7" w:rsidRDefault="004E40E7" w:rsidP="00E00323">
      <w:pPr>
        <w:spacing w:after="0" w:line="240" w:lineRule="auto"/>
      </w:pPr>
      <w:r>
        <w:separator/>
      </w:r>
    </w:p>
  </w:footnote>
  <w:footnote w:type="continuationSeparator" w:id="0">
    <w:p w14:paraId="5E774E51" w14:textId="77777777" w:rsidR="004E40E7" w:rsidRDefault="004E40E7" w:rsidP="00E00323">
      <w:pPr>
        <w:spacing w:after="0" w:line="240" w:lineRule="auto"/>
      </w:pPr>
      <w:r>
        <w:continuationSeparator/>
      </w:r>
    </w:p>
  </w:footnote>
  <w:footnote w:id="1">
    <w:p w14:paraId="0A6F776A" w14:textId="77777777" w:rsidR="008318A9" w:rsidRPr="00CD06C4" w:rsidRDefault="008318A9" w:rsidP="008318A9">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2D1F" w14:textId="77777777" w:rsidR="00B05AC1" w:rsidRDefault="00B05AC1" w:rsidP="00B05AC1">
    <w:pPr>
      <w:pStyle w:val="Encabezado"/>
      <w:spacing w:after="0" w:line="240" w:lineRule="auto"/>
      <w:jc w:val="center"/>
    </w:pPr>
    <w:r>
      <w:t xml:space="preserve">Sistema para el Desarrollo Integral de la Familia del Municipio de Salamanca, </w:t>
    </w:r>
    <w:proofErr w:type="spellStart"/>
    <w:r>
      <w:t>Gto</w:t>
    </w:r>
    <w:proofErr w:type="spellEnd"/>
    <w:r>
      <w:t>.</w:t>
    </w:r>
  </w:p>
  <w:p w14:paraId="7EB1FFF6" w14:textId="3C13450B" w:rsidR="00B05AC1" w:rsidRDefault="00B05AC1" w:rsidP="00B05AC1">
    <w:pPr>
      <w:pStyle w:val="Encabezado"/>
      <w:spacing w:after="0" w:line="240" w:lineRule="auto"/>
      <w:jc w:val="center"/>
    </w:pPr>
    <w:r w:rsidRPr="00A4610E">
      <w:t>CORRESPONDI</w:t>
    </w:r>
    <w:r>
      <w:t>E</w:t>
    </w:r>
    <w:r w:rsidRPr="00A4610E">
      <w:t xml:space="preserve">NTES AL </w:t>
    </w:r>
    <w:r>
      <w:t>31 DE MARZO DE 2024</w:t>
    </w:r>
  </w:p>
  <w:p w14:paraId="651A4C4F" w14:textId="559633B3" w:rsidR="00A4610E" w:rsidRPr="00B05AC1" w:rsidRDefault="00A4610E" w:rsidP="00B05A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95D2E"/>
    <w:multiLevelType w:val="hybridMultilevel"/>
    <w:tmpl w:val="8FD2F18C"/>
    <w:lvl w:ilvl="0" w:tplc="C1E290B8">
      <w:start w:val="1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325F31"/>
    <w:multiLevelType w:val="hybridMultilevel"/>
    <w:tmpl w:val="9F04FCCC"/>
    <w:lvl w:ilvl="0" w:tplc="29E48C52">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635754"/>
    <w:multiLevelType w:val="hybridMultilevel"/>
    <w:tmpl w:val="A8FC3718"/>
    <w:lvl w:ilvl="0" w:tplc="96EA20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CF9692B"/>
    <w:multiLevelType w:val="hybridMultilevel"/>
    <w:tmpl w:val="0DDE4E5E"/>
    <w:lvl w:ilvl="0" w:tplc="9B0CC05C">
      <w:start w:val="13"/>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3"/>
  </w:num>
  <w:num w:numId="2" w16cid:durableId="1559055197">
    <w:abstractNumId w:val="2"/>
  </w:num>
  <w:num w:numId="3" w16cid:durableId="609699816">
    <w:abstractNumId w:val="0"/>
  </w:num>
  <w:num w:numId="4" w16cid:durableId="93408145">
    <w:abstractNumId w:val="4"/>
  </w:num>
  <w:num w:numId="5" w16cid:durableId="153947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11441"/>
    <w:rsid w:val="00231FBE"/>
    <w:rsid w:val="00232175"/>
    <w:rsid w:val="0024740E"/>
    <w:rsid w:val="002722DD"/>
    <w:rsid w:val="00295B72"/>
    <w:rsid w:val="003453CA"/>
    <w:rsid w:val="00396D53"/>
    <w:rsid w:val="003E6C64"/>
    <w:rsid w:val="0043078C"/>
    <w:rsid w:val="00435A87"/>
    <w:rsid w:val="004A1077"/>
    <w:rsid w:val="004A58C8"/>
    <w:rsid w:val="004E40E7"/>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318A9"/>
    <w:rsid w:val="00835581"/>
    <w:rsid w:val="0086420E"/>
    <w:rsid w:val="0086459F"/>
    <w:rsid w:val="008C3BB8"/>
    <w:rsid w:val="008E076C"/>
    <w:rsid w:val="0092765C"/>
    <w:rsid w:val="00967DDA"/>
    <w:rsid w:val="009736CB"/>
    <w:rsid w:val="00A26ACE"/>
    <w:rsid w:val="00A4610E"/>
    <w:rsid w:val="00A6346D"/>
    <w:rsid w:val="00A730E0"/>
    <w:rsid w:val="00AA2768"/>
    <w:rsid w:val="00AA41E5"/>
    <w:rsid w:val="00AB722B"/>
    <w:rsid w:val="00AE1F6A"/>
    <w:rsid w:val="00AF4375"/>
    <w:rsid w:val="00B05AC1"/>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 w:val="00FE78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link w:val="TextoCar"/>
    <w:rsid w:val="008318A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318A9"/>
    <w:rPr>
      <w:rFonts w:ascii="Arial" w:eastAsia="Times New Roman" w:hAnsi="Arial" w:cs="Arial"/>
      <w:sz w:val="18"/>
      <w:lang w:val="es-ES" w:eastAsia="es-ES"/>
    </w:rPr>
  </w:style>
  <w:style w:type="paragraph" w:styleId="Textonotapie">
    <w:name w:val="footnote text"/>
    <w:basedOn w:val="Normal"/>
    <w:link w:val="TextonotapieCar"/>
    <w:rsid w:val="008318A9"/>
    <w:pPr>
      <w:spacing w:after="0" w:line="240" w:lineRule="auto"/>
    </w:pPr>
    <w:rPr>
      <w:rFonts w:ascii="Verdana" w:eastAsia="Times New Roman" w:hAnsi="Verdana"/>
      <w:sz w:val="20"/>
      <w:szCs w:val="20"/>
      <w:lang w:val="es-ES" w:eastAsia="x-none"/>
    </w:rPr>
  </w:style>
  <w:style w:type="character" w:customStyle="1" w:styleId="TextonotapieCar">
    <w:name w:val="Texto nota pie Car"/>
    <w:basedOn w:val="Fuentedeprrafopredeter"/>
    <w:link w:val="Textonotapie"/>
    <w:rsid w:val="008318A9"/>
    <w:rPr>
      <w:rFonts w:ascii="Verdana" w:eastAsia="Times New Roman" w:hAnsi="Verdana"/>
      <w:lang w:val="es-ES" w:eastAsia="x-none"/>
    </w:rPr>
  </w:style>
  <w:style w:type="character" w:styleId="Refdenotaalpie">
    <w:name w:val="footnote reference"/>
    <w:rsid w:val="00831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3529</Words>
  <Characters>19414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22898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paola belman</cp:lastModifiedBy>
  <cp:revision>72</cp:revision>
  <dcterms:created xsi:type="dcterms:W3CDTF">2017-01-12T05:27:00Z</dcterms:created>
  <dcterms:modified xsi:type="dcterms:W3CDTF">2024-04-30T16:00:00Z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